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24"/>
        </w:rPr>
      </w:pPr>
      <w:r>
        <w:rPr>
          <w:rFonts w:hint="eastAsia" w:ascii="宋体" w:hAnsi="宋体" w:eastAsia="宋体"/>
          <w:b/>
          <w:bCs/>
          <w:sz w:val="24"/>
          <w:lang w:val="en-US" w:eastAsia="zh-CN"/>
        </w:rPr>
        <w:t>中江县中医医院</w:t>
      </w:r>
      <w:bookmarkStart w:id="0" w:name="_GoBack"/>
      <w:bookmarkEnd w:id="0"/>
      <w:r>
        <w:rPr>
          <w:rFonts w:hint="eastAsia" w:ascii="宋体" w:hAnsi="宋体" w:eastAsia="宋体"/>
          <w:b/>
          <w:bCs/>
          <w:sz w:val="24"/>
        </w:rPr>
        <w:t>病理科项目服务招标需求书</w:t>
      </w:r>
    </w:p>
    <w:p>
      <w:pPr>
        <w:pStyle w:val="17"/>
        <w:spacing w:line="360" w:lineRule="auto"/>
        <w:ind w:firstLine="0" w:firstLineChars="0"/>
        <w:jc w:val="left"/>
        <w:rPr>
          <w:rFonts w:ascii="宋体" w:hAnsi="宋体" w:eastAsia="宋体"/>
          <w:sz w:val="24"/>
        </w:rPr>
      </w:pPr>
      <w:r>
        <w:rPr>
          <w:rFonts w:hint="eastAsia" w:ascii="宋体" w:hAnsi="宋体" w:eastAsia="宋体"/>
          <w:sz w:val="24"/>
        </w:rPr>
        <w:t>一、资格要求</w:t>
      </w:r>
    </w:p>
    <w:p>
      <w:pPr>
        <w:pStyle w:val="17"/>
        <w:spacing w:line="360" w:lineRule="auto"/>
        <w:ind w:firstLine="0" w:firstLineChars="0"/>
        <w:jc w:val="left"/>
        <w:rPr>
          <w:rFonts w:ascii="宋体" w:hAnsi="宋体" w:eastAsia="宋体"/>
          <w:sz w:val="24"/>
        </w:rPr>
      </w:pPr>
      <w:r>
        <w:rPr>
          <w:rFonts w:ascii="宋体" w:hAnsi="宋体" w:eastAsia="宋体"/>
          <w:sz w:val="24"/>
        </w:rPr>
        <w:t>1.</w:t>
      </w:r>
      <w:r>
        <w:rPr>
          <w:rFonts w:hint="eastAsia" w:ascii="宋体" w:hAnsi="宋体" w:eastAsia="宋体"/>
          <w:sz w:val="24"/>
        </w:rPr>
        <w:t>投标人符合《中华人民共和国政府采购法》第二十二条规定。</w:t>
      </w:r>
    </w:p>
    <w:p>
      <w:pPr>
        <w:pStyle w:val="17"/>
        <w:spacing w:line="360" w:lineRule="auto"/>
        <w:ind w:firstLine="0" w:firstLineChars="0"/>
        <w:jc w:val="left"/>
        <w:rPr>
          <w:rFonts w:ascii="宋体" w:hAnsi="宋体" w:eastAsia="宋体"/>
          <w:sz w:val="24"/>
        </w:rPr>
      </w:pPr>
      <w:r>
        <w:rPr>
          <w:rFonts w:ascii="宋体" w:hAnsi="宋体" w:eastAsia="宋体"/>
          <w:sz w:val="24"/>
        </w:rPr>
        <w:t>2.</w:t>
      </w:r>
      <w:r>
        <w:rPr>
          <w:rFonts w:hint="eastAsia" w:ascii="宋体" w:hAnsi="宋体" w:eastAsia="宋体"/>
          <w:sz w:val="24"/>
        </w:rPr>
        <w:t>必须是在中华人民共和国境内注册的独立法人，具备承担法律责任的完全民事行为能力，须提供有效的营业执照副本复印件（如非“三证合一”证照，同时提供有效的税务登记证及组织机构代码证副本复印件）。</w:t>
      </w:r>
    </w:p>
    <w:p>
      <w:pPr>
        <w:pStyle w:val="17"/>
        <w:spacing w:line="360" w:lineRule="auto"/>
        <w:ind w:firstLine="0" w:firstLineChars="0"/>
        <w:jc w:val="left"/>
        <w:rPr>
          <w:rFonts w:ascii="宋体" w:hAnsi="宋体" w:eastAsia="宋体"/>
          <w:sz w:val="24"/>
        </w:rPr>
      </w:pPr>
      <w:r>
        <w:rPr>
          <w:rFonts w:hint="eastAsia" w:ascii="宋体" w:hAnsi="宋体" w:eastAsia="宋体"/>
          <w:sz w:val="24"/>
        </w:rPr>
        <w:t>3.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pStyle w:val="17"/>
        <w:spacing w:line="360" w:lineRule="auto"/>
        <w:ind w:firstLine="0" w:firstLineChars="0"/>
        <w:jc w:val="left"/>
        <w:rPr>
          <w:rFonts w:ascii="宋体" w:hAnsi="宋体" w:eastAsia="宋体"/>
          <w:sz w:val="24"/>
        </w:rPr>
      </w:pPr>
      <w:r>
        <w:rPr>
          <w:rFonts w:hint="eastAsia" w:ascii="宋体" w:hAnsi="宋体" w:eastAsia="宋体"/>
          <w:sz w:val="24"/>
        </w:rPr>
        <w:t>特殊资格：</w:t>
      </w:r>
    </w:p>
    <w:p>
      <w:pPr>
        <w:pStyle w:val="17"/>
        <w:spacing w:line="360" w:lineRule="auto"/>
        <w:ind w:firstLine="0" w:firstLineChars="0"/>
        <w:jc w:val="left"/>
        <w:rPr>
          <w:rFonts w:hint="eastAsia" w:ascii="宋体" w:hAnsi="宋体" w:eastAsia="宋体"/>
          <w:sz w:val="24"/>
        </w:rPr>
      </w:pPr>
      <w:r>
        <w:rPr>
          <w:rFonts w:hint="eastAsia" w:ascii="宋体" w:hAnsi="宋体" w:eastAsia="宋体"/>
          <w:sz w:val="24"/>
        </w:rPr>
        <w:t>1. 供应商须具有行政主管部门颁发且在有效期内的《医疗机构执业许可证》。</w:t>
      </w:r>
    </w:p>
    <w:p>
      <w:pPr>
        <w:spacing w:line="360" w:lineRule="auto"/>
        <w:jc w:val="center"/>
        <w:rPr>
          <w:rFonts w:hint="eastAsia" w:ascii="宋体" w:hAnsi="宋体" w:eastAsia="宋体"/>
          <w:b/>
          <w:bCs/>
          <w:sz w:val="24"/>
        </w:rPr>
      </w:pPr>
    </w:p>
    <w:p>
      <w:pPr>
        <w:spacing w:line="360" w:lineRule="auto"/>
        <w:jc w:val="center"/>
        <w:rPr>
          <w:rFonts w:ascii="宋体" w:hAnsi="宋体" w:eastAsia="宋体"/>
          <w:b/>
          <w:bCs/>
          <w:sz w:val="24"/>
        </w:rPr>
      </w:pPr>
      <w:r>
        <w:rPr>
          <w:rFonts w:hint="eastAsia" w:ascii="宋体" w:hAnsi="宋体" w:eastAsia="宋体"/>
          <w:b/>
          <w:bCs/>
          <w:sz w:val="24"/>
        </w:rPr>
        <w:t>第一部分商务条款</w:t>
      </w:r>
    </w:p>
    <w:p>
      <w:pPr>
        <w:spacing w:line="360" w:lineRule="auto"/>
        <w:jc w:val="center"/>
        <w:rPr>
          <w:rFonts w:ascii="宋体" w:hAnsi="宋体" w:eastAsia="宋体"/>
          <w:sz w:val="24"/>
        </w:rPr>
      </w:pPr>
      <w:r>
        <w:rPr>
          <w:rFonts w:hint="eastAsia" w:ascii="宋体" w:hAnsi="宋体" w:eastAsia="宋体"/>
          <w:sz w:val="24"/>
        </w:rPr>
        <w:t>（注：带“★”号为关键条款，不满足将视为无效投标）</w:t>
      </w:r>
    </w:p>
    <w:p>
      <w:pPr>
        <w:pStyle w:val="17"/>
        <w:numPr>
          <w:ilvl w:val="0"/>
          <w:numId w:val="1"/>
        </w:numPr>
        <w:spacing w:line="360" w:lineRule="auto"/>
        <w:ind w:firstLineChars="0"/>
        <w:jc w:val="left"/>
        <w:rPr>
          <w:rFonts w:ascii="宋体" w:hAnsi="宋体" w:eastAsia="宋体"/>
          <w:sz w:val="24"/>
        </w:rPr>
      </w:pPr>
      <w:r>
        <w:rPr>
          <w:rFonts w:hint="eastAsia" w:ascii="宋体" w:hAnsi="宋体" w:eastAsia="宋体"/>
          <w:sz w:val="24"/>
        </w:rPr>
        <w:t>采购内容</w:t>
      </w:r>
    </w:p>
    <w:tbl>
      <w:tblPr>
        <w:tblStyle w:val="14"/>
        <w:tblW w:w="921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5"/>
        <w:gridCol w:w="1701"/>
        <w:gridCol w:w="1418"/>
        <w:gridCol w:w="1291"/>
        <w:gridCol w:w="1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pStyle w:val="17"/>
              <w:spacing w:line="360" w:lineRule="auto"/>
              <w:ind w:firstLine="0" w:firstLineChars="0"/>
              <w:jc w:val="center"/>
              <w:rPr>
                <w:rFonts w:ascii="宋体" w:hAnsi="宋体" w:eastAsia="宋体"/>
                <w:sz w:val="24"/>
              </w:rPr>
            </w:pPr>
            <w:r>
              <w:rPr>
                <w:rFonts w:hint="eastAsia" w:ascii="宋体" w:hAnsi="宋体" w:eastAsia="宋体"/>
                <w:sz w:val="24"/>
              </w:rPr>
              <w:t>品目类</w:t>
            </w:r>
          </w:p>
        </w:tc>
        <w:tc>
          <w:tcPr>
            <w:tcW w:w="1275" w:type="dxa"/>
          </w:tcPr>
          <w:p>
            <w:pPr>
              <w:pStyle w:val="17"/>
              <w:spacing w:line="360" w:lineRule="auto"/>
              <w:ind w:firstLine="0" w:firstLineChars="0"/>
              <w:jc w:val="center"/>
              <w:rPr>
                <w:rFonts w:ascii="宋体" w:hAnsi="宋体" w:eastAsia="宋体"/>
                <w:sz w:val="24"/>
              </w:rPr>
            </w:pPr>
            <w:r>
              <w:rPr>
                <w:rFonts w:hint="eastAsia" w:ascii="宋体" w:hAnsi="宋体" w:eastAsia="宋体"/>
                <w:sz w:val="24"/>
              </w:rPr>
              <w:t>品目名称</w:t>
            </w:r>
          </w:p>
        </w:tc>
        <w:tc>
          <w:tcPr>
            <w:tcW w:w="1701" w:type="dxa"/>
          </w:tcPr>
          <w:p>
            <w:pPr>
              <w:pStyle w:val="17"/>
              <w:spacing w:line="360" w:lineRule="auto"/>
              <w:ind w:firstLine="0" w:firstLineChars="0"/>
              <w:jc w:val="center"/>
              <w:rPr>
                <w:rFonts w:ascii="宋体" w:hAnsi="宋体" w:eastAsia="宋体"/>
                <w:sz w:val="24"/>
              </w:rPr>
            </w:pPr>
            <w:r>
              <w:rPr>
                <w:rFonts w:hint="eastAsia" w:ascii="宋体" w:hAnsi="宋体" w:eastAsia="宋体"/>
                <w:sz w:val="24"/>
              </w:rPr>
              <w:t>采购标的</w:t>
            </w:r>
          </w:p>
        </w:tc>
        <w:tc>
          <w:tcPr>
            <w:tcW w:w="1418" w:type="dxa"/>
          </w:tcPr>
          <w:p>
            <w:pPr>
              <w:pStyle w:val="17"/>
              <w:spacing w:line="360" w:lineRule="auto"/>
              <w:ind w:firstLine="0" w:firstLineChars="0"/>
              <w:jc w:val="center"/>
              <w:rPr>
                <w:rFonts w:ascii="宋体" w:hAnsi="宋体" w:eastAsia="宋体"/>
                <w:sz w:val="24"/>
              </w:rPr>
            </w:pPr>
            <w:r>
              <w:rPr>
                <w:rFonts w:hint="eastAsia" w:ascii="宋体" w:hAnsi="宋体" w:eastAsia="宋体"/>
                <w:sz w:val="24"/>
              </w:rPr>
              <w:t>数量（单位）</w:t>
            </w:r>
          </w:p>
        </w:tc>
        <w:tc>
          <w:tcPr>
            <w:tcW w:w="1291" w:type="dxa"/>
          </w:tcPr>
          <w:p>
            <w:pPr>
              <w:pStyle w:val="17"/>
              <w:spacing w:line="360" w:lineRule="auto"/>
              <w:ind w:firstLine="0" w:firstLineChars="0"/>
              <w:jc w:val="center"/>
              <w:rPr>
                <w:rFonts w:ascii="宋体" w:hAnsi="宋体" w:eastAsia="宋体"/>
                <w:sz w:val="24"/>
              </w:rPr>
            </w:pPr>
            <w:r>
              <w:rPr>
                <w:rFonts w:hint="eastAsia" w:ascii="宋体" w:hAnsi="宋体" w:eastAsia="宋体"/>
                <w:sz w:val="24"/>
              </w:rPr>
              <w:t>技术规格、参数及要求</w:t>
            </w:r>
          </w:p>
        </w:tc>
        <w:tc>
          <w:tcPr>
            <w:tcW w:w="1402" w:type="dxa"/>
          </w:tcPr>
          <w:p>
            <w:pPr>
              <w:pStyle w:val="17"/>
              <w:spacing w:line="360" w:lineRule="auto"/>
              <w:ind w:firstLine="0" w:firstLineChars="0"/>
              <w:jc w:val="center"/>
              <w:rPr>
                <w:rFonts w:ascii="宋体" w:hAnsi="宋体" w:eastAsia="宋体"/>
                <w:sz w:val="24"/>
              </w:rPr>
            </w:pPr>
            <w:r>
              <w:rPr>
                <w:rFonts w:hint="eastAsia" w:ascii="宋体" w:hAnsi="宋体" w:eastAsia="宋体"/>
                <w:sz w:val="24"/>
              </w:rPr>
              <w:t>预算金额</w:t>
            </w:r>
          </w:p>
        </w:tc>
        <w:tc>
          <w:tcPr>
            <w:tcW w:w="1134" w:type="dxa"/>
          </w:tcPr>
          <w:p>
            <w:pPr>
              <w:pStyle w:val="17"/>
              <w:spacing w:line="360" w:lineRule="auto"/>
              <w:ind w:firstLine="0" w:firstLineChars="0"/>
              <w:jc w:val="center"/>
              <w:rPr>
                <w:rFonts w:ascii="宋体" w:hAnsi="宋体" w:eastAsia="宋体"/>
                <w:sz w:val="24"/>
              </w:rPr>
            </w:pPr>
            <w:r>
              <w:rPr>
                <w:rFonts w:hint="eastAsia" w:ascii="宋体" w:hAnsi="宋体" w:eastAsia="宋体"/>
                <w:sz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pStyle w:val="17"/>
              <w:spacing w:line="360" w:lineRule="auto"/>
              <w:ind w:firstLine="0" w:firstLineChars="0"/>
              <w:jc w:val="left"/>
              <w:rPr>
                <w:rFonts w:ascii="宋体" w:hAnsi="宋体" w:eastAsia="宋体"/>
                <w:sz w:val="24"/>
              </w:rPr>
            </w:pPr>
            <w:r>
              <w:rPr>
                <w:rFonts w:hint="eastAsia" w:ascii="宋体" w:hAnsi="宋体" w:eastAsia="宋体"/>
                <w:sz w:val="24"/>
              </w:rPr>
              <w:t>1</w:t>
            </w:r>
            <w:r>
              <w:rPr>
                <w:rFonts w:ascii="宋体" w:hAnsi="宋体" w:eastAsia="宋体"/>
                <w:sz w:val="24"/>
              </w:rPr>
              <w:t>-1</w:t>
            </w:r>
          </w:p>
        </w:tc>
        <w:tc>
          <w:tcPr>
            <w:tcW w:w="1275" w:type="dxa"/>
          </w:tcPr>
          <w:p>
            <w:pPr>
              <w:pStyle w:val="17"/>
              <w:spacing w:line="360" w:lineRule="auto"/>
              <w:ind w:firstLine="0" w:firstLineChars="0"/>
              <w:jc w:val="left"/>
              <w:rPr>
                <w:rFonts w:ascii="宋体" w:hAnsi="宋体" w:eastAsia="宋体"/>
                <w:sz w:val="24"/>
              </w:rPr>
            </w:pPr>
            <w:r>
              <w:rPr>
                <w:rFonts w:hint="eastAsia" w:ascii="宋体" w:hAnsi="宋体" w:eastAsia="宋体"/>
                <w:sz w:val="24"/>
              </w:rPr>
              <w:t>其他服务</w:t>
            </w:r>
          </w:p>
        </w:tc>
        <w:tc>
          <w:tcPr>
            <w:tcW w:w="1701" w:type="dxa"/>
          </w:tcPr>
          <w:p>
            <w:pPr>
              <w:pStyle w:val="17"/>
              <w:spacing w:line="360" w:lineRule="auto"/>
              <w:ind w:firstLine="0" w:firstLineChars="0"/>
              <w:jc w:val="left"/>
              <w:rPr>
                <w:rFonts w:hint="eastAsia" w:ascii="宋体" w:hAnsi="宋体" w:eastAsia="宋体"/>
                <w:sz w:val="24"/>
                <w:lang w:eastAsia="zh-CN"/>
              </w:rPr>
            </w:pPr>
            <w:r>
              <w:rPr>
                <w:rFonts w:hint="eastAsia" w:ascii="宋体" w:hAnsi="宋体" w:eastAsia="宋体"/>
                <w:sz w:val="24"/>
                <w:lang w:eastAsia="zh-CN"/>
              </w:rPr>
              <w:t>中江县中医院</w:t>
            </w:r>
          </w:p>
          <w:p>
            <w:pPr>
              <w:pStyle w:val="17"/>
              <w:spacing w:line="360" w:lineRule="auto"/>
              <w:ind w:firstLine="0" w:firstLineChars="0"/>
              <w:jc w:val="left"/>
              <w:rPr>
                <w:rFonts w:ascii="宋体" w:hAnsi="宋体" w:eastAsia="宋体"/>
                <w:sz w:val="24"/>
              </w:rPr>
            </w:pPr>
            <w:r>
              <w:rPr>
                <w:rFonts w:hint="eastAsia" w:ascii="宋体" w:hAnsi="宋体" w:eastAsia="宋体"/>
                <w:sz w:val="24"/>
              </w:rPr>
              <w:t>病理项目采购服务</w:t>
            </w:r>
          </w:p>
        </w:tc>
        <w:tc>
          <w:tcPr>
            <w:tcW w:w="1418" w:type="dxa"/>
          </w:tcPr>
          <w:p>
            <w:pPr>
              <w:pStyle w:val="17"/>
              <w:spacing w:line="360" w:lineRule="auto"/>
              <w:ind w:firstLine="0" w:firstLineChars="0"/>
              <w:jc w:val="left"/>
              <w:rPr>
                <w:rFonts w:ascii="宋体" w:hAnsi="宋体" w:eastAsia="宋体"/>
                <w:sz w:val="24"/>
              </w:rPr>
            </w:pPr>
            <w:r>
              <w:rPr>
                <w:rFonts w:hint="eastAsia" w:ascii="宋体" w:hAnsi="宋体" w:eastAsia="宋体"/>
                <w:sz w:val="24"/>
              </w:rPr>
              <w:t>1（项）</w:t>
            </w:r>
          </w:p>
        </w:tc>
        <w:tc>
          <w:tcPr>
            <w:tcW w:w="1291" w:type="dxa"/>
          </w:tcPr>
          <w:p>
            <w:pPr>
              <w:pStyle w:val="17"/>
              <w:spacing w:line="360" w:lineRule="auto"/>
              <w:ind w:firstLine="0" w:firstLineChars="0"/>
              <w:jc w:val="left"/>
              <w:rPr>
                <w:rFonts w:ascii="宋体" w:hAnsi="宋体" w:eastAsia="宋体"/>
                <w:sz w:val="24"/>
              </w:rPr>
            </w:pPr>
            <w:r>
              <w:rPr>
                <w:rFonts w:hint="eastAsia" w:ascii="宋体" w:hAnsi="宋体" w:eastAsia="宋体"/>
                <w:sz w:val="24"/>
              </w:rPr>
              <w:t>详见采购文件第二部分</w:t>
            </w:r>
          </w:p>
        </w:tc>
        <w:tc>
          <w:tcPr>
            <w:tcW w:w="1402" w:type="dxa"/>
          </w:tcPr>
          <w:p>
            <w:pPr>
              <w:pStyle w:val="17"/>
              <w:spacing w:line="360" w:lineRule="auto"/>
              <w:ind w:firstLine="0" w:firstLineChars="0"/>
              <w:jc w:val="left"/>
              <w:rPr>
                <w:rFonts w:ascii="宋体" w:hAnsi="宋体" w:eastAsia="宋体"/>
                <w:sz w:val="24"/>
              </w:rPr>
            </w:pPr>
          </w:p>
        </w:tc>
        <w:tc>
          <w:tcPr>
            <w:tcW w:w="1134" w:type="dxa"/>
          </w:tcPr>
          <w:p>
            <w:pPr>
              <w:pStyle w:val="17"/>
              <w:spacing w:line="360" w:lineRule="auto"/>
              <w:ind w:firstLine="0" w:firstLineChars="0"/>
              <w:jc w:val="center"/>
              <w:rPr>
                <w:rFonts w:ascii="宋体" w:hAnsi="宋体" w:eastAsia="宋体"/>
                <w:sz w:val="24"/>
              </w:rPr>
            </w:pPr>
            <w:r>
              <w:rPr>
                <w:rFonts w:hint="eastAsia" w:ascii="宋体" w:hAnsi="宋体" w:eastAsia="宋体"/>
                <w:sz w:val="24"/>
                <w:lang w:val="en-US" w:eastAsia="zh-CN"/>
              </w:rPr>
              <w:t>五</w:t>
            </w:r>
            <w:r>
              <w:rPr>
                <w:rFonts w:hint="eastAsia" w:ascii="宋体" w:hAnsi="宋体" w:eastAsia="宋体"/>
                <w:sz w:val="24"/>
              </w:rPr>
              <w:t>年</w:t>
            </w:r>
          </w:p>
        </w:tc>
      </w:tr>
    </w:tbl>
    <w:p>
      <w:pPr>
        <w:spacing w:line="360" w:lineRule="auto"/>
        <w:jc w:val="left"/>
        <w:rPr>
          <w:rFonts w:ascii="宋体" w:hAnsi="宋体" w:eastAsia="宋体"/>
          <w:sz w:val="24"/>
        </w:rPr>
      </w:pPr>
    </w:p>
    <w:p>
      <w:pPr>
        <w:pStyle w:val="17"/>
        <w:numPr>
          <w:ilvl w:val="0"/>
          <w:numId w:val="1"/>
        </w:numPr>
        <w:spacing w:line="360" w:lineRule="auto"/>
        <w:ind w:firstLineChars="0"/>
        <w:jc w:val="left"/>
        <w:rPr>
          <w:rFonts w:ascii="宋体" w:hAnsi="宋体" w:eastAsia="宋体"/>
          <w:sz w:val="24"/>
        </w:rPr>
      </w:pPr>
      <w:r>
        <w:rPr>
          <w:rFonts w:hint="eastAsia" w:ascii="宋体" w:hAnsi="宋体" w:eastAsia="宋体"/>
          <w:sz w:val="24"/>
        </w:rPr>
        <w:t>报价与付款方式</w:t>
      </w:r>
    </w:p>
    <w:p>
      <w:pPr>
        <w:pStyle w:val="17"/>
        <w:numPr>
          <w:ilvl w:val="0"/>
          <w:numId w:val="2"/>
        </w:numPr>
        <w:spacing w:line="360" w:lineRule="auto"/>
        <w:ind w:firstLineChars="0"/>
        <w:jc w:val="left"/>
        <w:rPr>
          <w:rFonts w:ascii="宋体" w:hAnsi="宋体" w:eastAsia="宋体"/>
          <w:sz w:val="24"/>
        </w:rPr>
      </w:pPr>
      <w:r>
        <w:rPr>
          <w:rFonts w:hint="eastAsia" w:ascii="宋体" w:hAnsi="宋体" w:eastAsia="宋体"/>
          <w:sz w:val="24"/>
        </w:rPr>
        <w:t>★投标报价是依据项目折扣率最高限价为</w:t>
      </w:r>
      <w:r>
        <w:rPr>
          <w:rFonts w:hint="eastAsia" w:ascii="宋体" w:hAnsi="宋体" w:eastAsia="宋体"/>
          <w:sz w:val="24"/>
          <w:lang w:val="en-US" w:eastAsia="zh-CN"/>
        </w:rPr>
        <w:t>80</w:t>
      </w:r>
      <w:r>
        <w:rPr>
          <w:rFonts w:ascii="宋体" w:hAnsi="宋体" w:eastAsia="宋体"/>
          <w:sz w:val="24"/>
        </w:rPr>
        <w:t>%</w:t>
      </w:r>
      <w:r>
        <w:rPr>
          <w:rFonts w:hint="eastAsia" w:ascii="宋体" w:hAnsi="宋体" w:eastAsia="宋体"/>
          <w:sz w:val="24"/>
        </w:rPr>
        <w:t>进行折扣报价，即折扣率不</w:t>
      </w:r>
      <w:r>
        <w:rPr>
          <w:rFonts w:hint="eastAsia" w:ascii="宋体" w:hAnsi="宋体" w:eastAsia="宋体"/>
          <w:sz w:val="24"/>
          <w:lang w:val="en-US" w:eastAsia="zh-CN"/>
        </w:rPr>
        <w:t>得</w:t>
      </w:r>
      <w:r>
        <w:rPr>
          <w:rFonts w:hint="eastAsia" w:ascii="宋体" w:hAnsi="宋体" w:eastAsia="宋体"/>
          <w:sz w:val="24"/>
        </w:rPr>
        <w:t>高于</w:t>
      </w:r>
      <w:r>
        <w:rPr>
          <w:rFonts w:hint="eastAsia" w:ascii="宋体" w:hAnsi="宋体" w:eastAsia="宋体"/>
          <w:sz w:val="24"/>
          <w:lang w:val="en-US" w:eastAsia="zh-CN"/>
        </w:rPr>
        <w:t>80</w:t>
      </w:r>
      <w:r>
        <w:rPr>
          <w:rFonts w:ascii="宋体" w:hAnsi="宋体" w:eastAsia="宋体"/>
          <w:sz w:val="24"/>
        </w:rPr>
        <w:t>%</w:t>
      </w:r>
      <w:r>
        <w:rPr>
          <w:rFonts w:hint="eastAsia" w:ascii="宋体" w:hAnsi="宋体" w:eastAsia="宋体"/>
          <w:sz w:val="24"/>
        </w:rPr>
        <w:t>。投标人的投标折扣率报价不能为负数或零。折扣率低于</w:t>
      </w:r>
      <w:r>
        <w:rPr>
          <w:rFonts w:ascii="宋体" w:hAnsi="宋体" w:eastAsia="宋体"/>
          <w:sz w:val="24"/>
        </w:rPr>
        <w:t>6</w:t>
      </w:r>
      <w:r>
        <w:rPr>
          <w:rFonts w:hint="eastAsia" w:ascii="宋体" w:hAnsi="宋体" w:eastAsia="宋体"/>
          <w:sz w:val="24"/>
        </w:rPr>
        <w:t>0%的需以书面形式进行低价说明（在保证质量的前提下，能够大幅节省成本的手段或原因），如没有合理的理由或不按要求提供低价说明，评审小组可将其视为不被接受的有风险的投标报价，作无效投标处理。投标报价包括但不限于：完成本次招标所有服务内容的费用，包括场地装修费用、人工费、检测费、材料费、设备使用费、各种税务费、必须的辅助材料费及合同实施过程中不可预见费用等全部费用。</w:t>
      </w:r>
    </w:p>
    <w:p>
      <w:pPr>
        <w:pStyle w:val="17"/>
        <w:numPr>
          <w:ilvl w:val="0"/>
          <w:numId w:val="2"/>
        </w:numPr>
        <w:spacing w:line="360" w:lineRule="auto"/>
        <w:ind w:firstLineChars="0"/>
        <w:jc w:val="left"/>
        <w:rPr>
          <w:rFonts w:ascii="宋体" w:hAnsi="宋体" w:eastAsia="宋体"/>
          <w:sz w:val="24"/>
        </w:rPr>
      </w:pPr>
      <w:r>
        <w:rPr>
          <w:rFonts w:hint="eastAsia" w:ascii="宋体" w:hAnsi="宋体" w:eastAsia="宋体"/>
          <w:sz w:val="24"/>
        </w:rPr>
        <w:t>★投标人必须对本包的全部内容进行投标报价，不可缺漏。</w:t>
      </w:r>
    </w:p>
    <w:p>
      <w:pPr>
        <w:pStyle w:val="17"/>
        <w:numPr>
          <w:ilvl w:val="0"/>
          <w:numId w:val="2"/>
        </w:numPr>
        <w:spacing w:line="360" w:lineRule="auto"/>
        <w:ind w:firstLineChars="0"/>
        <w:jc w:val="left"/>
        <w:rPr>
          <w:rFonts w:ascii="宋体" w:hAnsi="宋体" w:eastAsia="宋体"/>
          <w:sz w:val="24"/>
        </w:rPr>
      </w:pPr>
      <w:r>
        <w:rPr>
          <w:rFonts w:hint="eastAsia" w:ascii="宋体" w:hAnsi="宋体" w:eastAsia="宋体"/>
          <w:sz w:val="24"/>
        </w:rPr>
        <w:t>付款方式：每月结算一次，甲方在收到发票后3</w:t>
      </w:r>
      <w:r>
        <w:rPr>
          <w:rFonts w:ascii="宋体" w:hAnsi="宋体" w:eastAsia="宋体"/>
          <w:sz w:val="24"/>
        </w:rPr>
        <w:t>0</w:t>
      </w:r>
      <w:r>
        <w:rPr>
          <w:rFonts w:hint="eastAsia" w:ascii="宋体" w:hAnsi="宋体" w:eastAsia="宋体"/>
          <w:sz w:val="24"/>
        </w:rPr>
        <w:t>日内，按发票金额以银行转账方式结算，以账款到达乙方指定账户时间为准。</w:t>
      </w:r>
    </w:p>
    <w:p>
      <w:pPr>
        <w:pStyle w:val="17"/>
        <w:numPr>
          <w:ilvl w:val="0"/>
          <w:numId w:val="2"/>
        </w:numPr>
        <w:spacing w:line="360" w:lineRule="auto"/>
        <w:ind w:firstLineChars="0"/>
        <w:jc w:val="left"/>
        <w:rPr>
          <w:rFonts w:ascii="宋体" w:hAnsi="宋体" w:eastAsia="宋体"/>
          <w:sz w:val="24"/>
        </w:rPr>
      </w:pPr>
      <w:r>
        <w:rPr>
          <w:rFonts w:hint="eastAsia" w:ascii="宋体" w:hAnsi="宋体" w:eastAsia="宋体"/>
          <w:sz w:val="24"/>
        </w:rPr>
        <w:t>★</w:t>
      </w:r>
      <w:r>
        <w:rPr>
          <w:rFonts w:hint="eastAsia" w:ascii="宋体" w:hAnsi="宋体" w:eastAsia="宋体"/>
          <w:sz w:val="24"/>
          <w:lang w:val="en-US" w:eastAsia="zh-CN"/>
        </w:rPr>
        <w:t>5.</w:t>
      </w:r>
      <w:r>
        <w:rPr>
          <w:rFonts w:hint="eastAsia" w:ascii="宋体" w:hAnsi="宋体" w:eastAsia="宋体"/>
          <w:sz w:val="24"/>
        </w:rPr>
        <w:t>本项目整体专门面向中小企业采购，供应商必须为中小企业（监狱企业、残疾人福利单位视同小型、微型企业）（按磋商文件中规定的格式提供中小企业声明函）。</w:t>
      </w:r>
    </w:p>
    <w:p>
      <w:pPr>
        <w:pStyle w:val="17"/>
        <w:numPr>
          <w:ilvl w:val="0"/>
          <w:numId w:val="0"/>
        </w:numPr>
        <w:spacing w:line="360" w:lineRule="auto"/>
        <w:ind w:leftChars="0"/>
        <w:jc w:val="left"/>
        <w:rPr>
          <w:rFonts w:ascii="宋体" w:hAnsi="宋体" w:eastAsia="宋体"/>
          <w:sz w:val="24"/>
        </w:rPr>
      </w:pPr>
    </w:p>
    <w:p>
      <w:pPr>
        <w:spacing w:line="360" w:lineRule="auto"/>
        <w:jc w:val="left"/>
        <w:rPr>
          <w:rFonts w:ascii="宋体" w:hAnsi="宋体" w:eastAsia="宋体"/>
          <w:sz w:val="24"/>
        </w:rPr>
      </w:pPr>
      <w:r>
        <w:rPr>
          <w:rFonts w:hint="eastAsia" w:ascii="宋体" w:hAnsi="宋体" w:eastAsia="宋体"/>
          <w:sz w:val="24"/>
        </w:rPr>
        <w:t>注：1</w:t>
      </w:r>
      <w:r>
        <w:rPr>
          <w:rFonts w:ascii="宋体" w:hAnsi="宋体" w:eastAsia="宋体"/>
          <w:sz w:val="24"/>
        </w:rPr>
        <w:t>.</w:t>
      </w:r>
      <w:r>
        <w:rPr>
          <w:rFonts w:hint="eastAsia" w:ascii="宋体" w:hAnsi="宋体" w:eastAsia="宋体"/>
          <w:sz w:val="24"/>
        </w:rPr>
        <w:t>投标人的投标单价以</w:t>
      </w:r>
      <w:r>
        <w:rPr>
          <w:rFonts w:hint="eastAsia" w:ascii="宋体" w:hAnsi="宋体" w:eastAsia="宋体"/>
          <w:sz w:val="24"/>
          <w:lang w:val="en-US" w:eastAsia="zh-CN"/>
        </w:rPr>
        <w:t>现行</w:t>
      </w:r>
      <w:r>
        <w:rPr>
          <w:rFonts w:hint="eastAsia" w:ascii="宋体" w:hAnsi="宋体" w:eastAsia="宋体"/>
          <w:sz w:val="24"/>
        </w:rPr>
        <w:t>《</w:t>
      </w:r>
      <w:r>
        <w:rPr>
          <w:rFonts w:hint="eastAsia" w:ascii="宋体" w:hAnsi="宋体" w:eastAsia="宋体"/>
          <w:sz w:val="24"/>
          <w:lang w:val="en-US" w:eastAsia="zh-CN"/>
        </w:rPr>
        <w:t>德阳</w:t>
      </w:r>
      <w:r>
        <w:rPr>
          <w:rFonts w:hint="eastAsia" w:ascii="宋体" w:hAnsi="宋体" w:eastAsia="宋体"/>
          <w:sz w:val="24"/>
        </w:rPr>
        <w:t>市公立医疗机构基本医疗服务价格》中的规定的单价为标准，如此价格标准以外的送检项目，价格由中标人与采购人共同商定。如在服务期限内，物价部门调整了检测单价，应按照物价部门调整的检测单价浮动比例调整结算单价。</w:t>
      </w:r>
    </w:p>
    <w:p>
      <w:pPr>
        <w:spacing w:line="360" w:lineRule="auto"/>
        <w:jc w:val="left"/>
        <w:rPr>
          <w:rFonts w:hint="eastAsia"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实际服务费用=</w:t>
      </w:r>
      <w:r>
        <w:rPr>
          <w:rFonts w:hint="eastAsia" w:ascii="宋体" w:hAnsi="宋体" w:eastAsia="宋体"/>
          <w:sz w:val="24"/>
          <w:lang w:val="en-US" w:eastAsia="zh-CN"/>
        </w:rPr>
        <w:t>德阳</w:t>
      </w:r>
      <w:r>
        <w:rPr>
          <w:rFonts w:hint="eastAsia" w:ascii="宋体" w:hAnsi="宋体" w:eastAsia="宋体"/>
          <w:sz w:val="24"/>
        </w:rPr>
        <w:t>市公立医疗机构基本医疗服务</w:t>
      </w:r>
      <w:r>
        <w:rPr>
          <w:rFonts w:hint="eastAsia" w:ascii="宋体" w:hAnsi="宋体" w:eastAsia="宋体"/>
          <w:sz w:val="24"/>
          <w:lang w:val="en-US" w:eastAsia="zh-CN"/>
        </w:rPr>
        <w:t>项目</w:t>
      </w:r>
      <w:r>
        <w:rPr>
          <w:rFonts w:hint="eastAsia" w:ascii="宋体" w:hAnsi="宋体" w:eastAsia="宋体"/>
          <w:sz w:val="24"/>
        </w:rPr>
        <w:t>价格</w:t>
      </w:r>
      <w:r>
        <w:rPr>
          <w:rFonts w:hint="eastAsia" w:ascii="宋体" w:hAnsi="宋体" w:eastAsia="宋体"/>
          <w:sz w:val="24"/>
          <w:lang w:val="en-US" w:eastAsia="zh-CN"/>
        </w:rPr>
        <w:t>表</w:t>
      </w:r>
      <w:r>
        <w:rPr>
          <w:rFonts w:hint="eastAsia" w:ascii="宋体" w:hAnsi="宋体" w:eastAsia="宋体"/>
          <w:sz w:val="24"/>
        </w:rPr>
        <w:t>中的价格（如遇国家调整，则以调整后价格为准）×实际服务数量×中标折扣率</w:t>
      </w:r>
    </w:p>
    <w:p>
      <w:pPr>
        <w:spacing w:line="360" w:lineRule="auto"/>
        <w:jc w:val="left"/>
        <w:rPr>
          <w:rFonts w:ascii="宋体" w:hAnsi="宋体" w:eastAsia="宋体"/>
          <w:sz w:val="24"/>
        </w:rPr>
      </w:pPr>
    </w:p>
    <w:p>
      <w:pPr>
        <w:spacing w:line="360" w:lineRule="auto"/>
        <w:jc w:val="left"/>
        <w:rPr>
          <w:rFonts w:ascii="宋体" w:hAnsi="宋体" w:eastAsia="宋体"/>
          <w:sz w:val="24"/>
        </w:rPr>
      </w:pPr>
      <w:r>
        <w:rPr>
          <w:rFonts w:hint="eastAsia" w:ascii="宋体" w:hAnsi="宋体" w:eastAsia="宋体"/>
          <w:sz w:val="24"/>
        </w:rPr>
        <w:t>★三、服务期限</w:t>
      </w:r>
    </w:p>
    <w:p>
      <w:pPr>
        <w:spacing w:line="360" w:lineRule="auto"/>
        <w:ind w:firstLine="420"/>
        <w:jc w:val="left"/>
        <w:rPr>
          <w:rFonts w:ascii="宋体" w:hAnsi="宋体" w:eastAsia="宋体"/>
          <w:sz w:val="24"/>
        </w:rPr>
      </w:pPr>
      <w:r>
        <w:rPr>
          <w:rFonts w:hint="eastAsia" w:ascii="宋体" w:hAnsi="宋体" w:eastAsia="宋体"/>
          <w:sz w:val="24"/>
        </w:rPr>
        <w:t>签订合同之日起</w:t>
      </w:r>
      <w:r>
        <w:rPr>
          <w:rFonts w:hint="eastAsia" w:ascii="宋体" w:hAnsi="宋体" w:eastAsia="宋体"/>
          <w:sz w:val="24"/>
          <w:lang w:val="en-US" w:eastAsia="zh-CN"/>
        </w:rPr>
        <w:t>五</w:t>
      </w:r>
      <w:r>
        <w:rPr>
          <w:rFonts w:hint="eastAsia" w:ascii="宋体" w:hAnsi="宋体" w:eastAsia="宋体"/>
          <w:sz w:val="24"/>
        </w:rPr>
        <w:t>年，在服务期限内，以实际发生数进行结算。</w:t>
      </w:r>
    </w:p>
    <w:p>
      <w:pPr>
        <w:spacing w:line="360" w:lineRule="auto"/>
        <w:jc w:val="left"/>
        <w:rPr>
          <w:rFonts w:ascii="宋体" w:hAnsi="宋体" w:eastAsia="宋体"/>
          <w:sz w:val="24"/>
        </w:rPr>
      </w:pPr>
    </w:p>
    <w:p>
      <w:pPr>
        <w:spacing w:line="360" w:lineRule="auto"/>
        <w:jc w:val="center"/>
        <w:rPr>
          <w:rFonts w:ascii="宋体" w:hAnsi="宋体" w:eastAsia="宋体"/>
          <w:b/>
          <w:bCs/>
          <w:sz w:val="24"/>
        </w:rPr>
      </w:pPr>
      <w:r>
        <w:rPr>
          <w:rFonts w:hint="eastAsia" w:ascii="宋体" w:hAnsi="宋体" w:eastAsia="宋体"/>
          <w:b/>
          <w:bCs/>
          <w:sz w:val="24"/>
        </w:rPr>
        <w:t xml:space="preserve">第二部分 </w:t>
      </w:r>
      <w:r>
        <w:rPr>
          <w:rFonts w:ascii="宋体" w:hAnsi="宋体" w:eastAsia="宋体"/>
          <w:b/>
          <w:bCs/>
          <w:sz w:val="24"/>
        </w:rPr>
        <w:t xml:space="preserve"> </w:t>
      </w:r>
      <w:r>
        <w:rPr>
          <w:rFonts w:hint="eastAsia" w:ascii="宋体" w:hAnsi="宋体" w:eastAsia="宋体"/>
          <w:b/>
          <w:bCs/>
          <w:sz w:val="24"/>
        </w:rPr>
        <w:t>技术条款</w:t>
      </w:r>
    </w:p>
    <w:p>
      <w:pPr>
        <w:spacing w:line="360" w:lineRule="auto"/>
        <w:jc w:val="center"/>
        <w:rPr>
          <w:rFonts w:ascii="宋体" w:hAnsi="宋体" w:eastAsia="宋体"/>
          <w:sz w:val="24"/>
        </w:rPr>
      </w:pPr>
      <w:r>
        <w:rPr>
          <w:rFonts w:hint="eastAsia" w:ascii="宋体" w:hAnsi="宋体" w:eastAsia="宋体"/>
          <w:sz w:val="24"/>
        </w:rPr>
        <w:t>（注：带“★”号为关键条款，不满足将视为无效投标）</w:t>
      </w:r>
    </w:p>
    <w:p>
      <w:pPr>
        <w:pStyle w:val="17"/>
        <w:numPr>
          <w:ilvl w:val="0"/>
          <w:numId w:val="3"/>
        </w:numPr>
        <w:spacing w:line="360" w:lineRule="auto"/>
        <w:ind w:firstLineChars="0"/>
        <w:rPr>
          <w:rFonts w:ascii="宋体" w:hAnsi="宋体" w:eastAsia="宋体"/>
          <w:sz w:val="24"/>
        </w:rPr>
      </w:pPr>
      <w:r>
        <w:rPr>
          <w:rFonts w:hint="eastAsia" w:ascii="宋体" w:hAnsi="宋体" w:eastAsia="宋体"/>
          <w:sz w:val="24"/>
        </w:rPr>
        <w:t>病理科运营服务要求</w:t>
      </w:r>
    </w:p>
    <w:p>
      <w:pPr>
        <w:pStyle w:val="17"/>
        <w:numPr>
          <w:ilvl w:val="0"/>
          <w:numId w:val="4"/>
        </w:numPr>
        <w:spacing w:line="360" w:lineRule="auto"/>
        <w:ind w:firstLineChars="0"/>
        <w:rPr>
          <w:rFonts w:ascii="宋体" w:hAnsi="宋体" w:eastAsia="宋体"/>
          <w:sz w:val="24"/>
        </w:rPr>
      </w:pPr>
      <w:r>
        <w:rPr>
          <w:rFonts w:hint="eastAsia" w:ascii="宋体" w:hAnsi="宋体" w:eastAsia="宋体"/>
          <w:sz w:val="24"/>
        </w:rPr>
        <w:t>服务响应：中标人保证按国家病理诊断规范进行操作，按照规范流程进行标本保存、运输及检查诊断，并对标本的病理报告承担相应的责任。</w:t>
      </w:r>
    </w:p>
    <w:p>
      <w:pPr>
        <w:pStyle w:val="17"/>
        <w:numPr>
          <w:ilvl w:val="0"/>
          <w:numId w:val="4"/>
        </w:numPr>
        <w:spacing w:line="360" w:lineRule="auto"/>
        <w:ind w:firstLineChars="0"/>
        <w:rPr>
          <w:rFonts w:hint="eastAsia" w:ascii="宋体" w:hAnsi="宋体" w:eastAsia="宋体"/>
          <w:sz w:val="24"/>
        </w:rPr>
      </w:pPr>
      <w:r>
        <w:rPr>
          <w:rFonts w:hint="eastAsia" w:ascii="宋体" w:hAnsi="宋体" w:eastAsia="宋体"/>
          <w:sz w:val="24"/>
        </w:rPr>
        <w:t>提供病理科建设运营服务整体技术支持：中标人协助医院进行病理科标准化建设，提升病理业务能力，提供科室布局优化改良方案并对病理科进行</w:t>
      </w:r>
      <w:r>
        <w:rPr>
          <w:rFonts w:hint="eastAsia" w:ascii="宋体" w:hAnsi="宋体" w:eastAsia="宋体"/>
          <w:sz w:val="24"/>
          <w:lang w:val="en-US" w:eastAsia="zh-CN"/>
        </w:rPr>
        <w:t>装修</w:t>
      </w:r>
      <w:r>
        <w:rPr>
          <w:rFonts w:hint="eastAsia" w:ascii="宋体" w:hAnsi="宋体" w:eastAsia="宋体"/>
          <w:sz w:val="24"/>
        </w:rPr>
        <w:t>。</w:t>
      </w:r>
    </w:p>
    <w:p>
      <w:pPr>
        <w:pStyle w:val="17"/>
        <w:numPr>
          <w:ilvl w:val="0"/>
          <w:numId w:val="4"/>
        </w:numPr>
        <w:spacing w:line="360" w:lineRule="auto"/>
        <w:ind w:firstLineChars="0"/>
        <w:rPr>
          <w:rFonts w:ascii="宋体" w:hAnsi="宋体" w:eastAsia="宋体"/>
          <w:sz w:val="24"/>
        </w:rPr>
      </w:pPr>
      <w:r>
        <w:rPr>
          <w:rFonts w:hint="eastAsia" w:ascii="宋体" w:hAnsi="宋体" w:eastAsia="宋体"/>
          <w:sz w:val="24"/>
        </w:rPr>
        <w:t>中标人负责提供病理科项目开展所需设备、试剂耗材、病理报告系统及合作期该设备的维护及保养，设备故障及服务2</w:t>
      </w:r>
      <w:r>
        <w:rPr>
          <w:rFonts w:ascii="宋体" w:hAnsi="宋体" w:eastAsia="宋体"/>
          <w:sz w:val="24"/>
        </w:rPr>
        <w:t>4</w:t>
      </w:r>
      <w:r>
        <w:rPr>
          <w:rFonts w:hint="eastAsia" w:ascii="宋体" w:hAnsi="宋体" w:eastAsia="宋体"/>
          <w:sz w:val="24"/>
        </w:rPr>
        <w:t>小时内响应。中标人提供的设备至少包括术中冰冻、常规组织学、细胞病理、远程病理平台，提供的设备自动化程度高，利于病理科提高工作效率。</w:t>
      </w:r>
    </w:p>
    <w:p>
      <w:pPr>
        <w:pStyle w:val="17"/>
        <w:numPr>
          <w:ilvl w:val="0"/>
          <w:numId w:val="4"/>
        </w:numPr>
        <w:spacing w:line="360" w:lineRule="auto"/>
        <w:ind w:firstLineChars="0"/>
        <w:rPr>
          <w:rFonts w:ascii="宋体" w:hAnsi="宋体" w:eastAsia="宋体"/>
          <w:sz w:val="24"/>
        </w:rPr>
      </w:pPr>
      <w:r>
        <w:rPr>
          <w:rFonts w:hint="eastAsia" w:ascii="宋体" w:hAnsi="宋体" w:eastAsia="宋体"/>
          <w:sz w:val="24"/>
        </w:rPr>
        <w:t>中标人</w:t>
      </w:r>
      <w:r>
        <w:rPr>
          <w:rFonts w:hint="eastAsia" w:ascii="宋体" w:hAnsi="宋体" w:eastAsia="宋体"/>
          <w:sz w:val="24"/>
          <w:lang w:val="en-US" w:eastAsia="zh-CN"/>
        </w:rPr>
        <w:t>根据医院病理业务量实际需求</w:t>
      </w:r>
      <w:r>
        <w:rPr>
          <w:rFonts w:hint="eastAsia" w:ascii="宋体" w:hAnsi="宋体" w:eastAsia="宋体"/>
          <w:sz w:val="24"/>
        </w:rPr>
        <w:t>提供</w:t>
      </w:r>
      <w:r>
        <w:rPr>
          <w:rFonts w:hint="eastAsia" w:ascii="宋体" w:hAnsi="宋体" w:eastAsia="宋体"/>
          <w:sz w:val="24"/>
          <w:lang w:val="en-US" w:eastAsia="zh-CN"/>
        </w:rPr>
        <w:t>满足</w:t>
      </w:r>
      <w:r>
        <w:rPr>
          <w:rFonts w:hint="eastAsia" w:ascii="宋体" w:hAnsi="宋体" w:eastAsia="宋体"/>
          <w:sz w:val="24"/>
        </w:rPr>
        <w:t>采购人在院内开展病理项目检测</w:t>
      </w:r>
      <w:r>
        <w:rPr>
          <w:rFonts w:hint="eastAsia" w:ascii="宋体" w:hAnsi="宋体" w:eastAsia="宋体"/>
          <w:sz w:val="24"/>
          <w:lang w:val="en-US" w:eastAsia="zh-CN"/>
        </w:rPr>
        <w:t>的技术</w:t>
      </w:r>
      <w:r>
        <w:rPr>
          <w:rFonts w:hint="eastAsia" w:ascii="宋体" w:hAnsi="宋体" w:eastAsia="宋体"/>
          <w:sz w:val="24"/>
        </w:rPr>
        <w:t>人员支持。</w:t>
      </w:r>
    </w:p>
    <w:p>
      <w:pPr>
        <w:pStyle w:val="17"/>
        <w:numPr>
          <w:ilvl w:val="0"/>
          <w:numId w:val="4"/>
        </w:numPr>
        <w:spacing w:line="360" w:lineRule="auto"/>
        <w:ind w:firstLineChars="0"/>
        <w:rPr>
          <w:rFonts w:hint="eastAsia" w:ascii="宋体" w:hAnsi="宋体" w:eastAsia="宋体"/>
          <w:sz w:val="24"/>
        </w:rPr>
      </w:pPr>
      <w:r>
        <w:rPr>
          <w:rFonts w:hint="eastAsia" w:ascii="宋体" w:hAnsi="宋体" w:eastAsia="宋体"/>
          <w:sz w:val="24"/>
        </w:rPr>
        <w:t>中标人为采购人提供病理人才培养服务，负责采购人病理医技人员的培训与带教，通过5年培养出1-2名独立看市县常见病理标本的病理医师及技术人员，实现常见病例院内制片及诊断。</w:t>
      </w:r>
    </w:p>
    <w:p>
      <w:pPr>
        <w:pStyle w:val="17"/>
        <w:numPr>
          <w:ilvl w:val="0"/>
          <w:numId w:val="4"/>
        </w:numPr>
        <w:spacing w:line="360" w:lineRule="auto"/>
        <w:ind w:firstLineChars="0"/>
        <w:rPr>
          <w:rFonts w:hint="eastAsia" w:ascii="宋体" w:hAnsi="宋体" w:eastAsia="宋体"/>
          <w:sz w:val="24"/>
        </w:rPr>
      </w:pPr>
      <w:r>
        <w:rPr>
          <w:rFonts w:hint="eastAsia" w:ascii="宋体" w:hAnsi="宋体" w:eastAsia="宋体"/>
          <w:sz w:val="24"/>
        </w:rPr>
        <w:t>中标人协助医院开展新项目、提升科室服务水平，免费提供远程病理线上教学平台供采购人病理团队学习及培训，提高业务诊断水平</w:t>
      </w:r>
    </w:p>
    <w:p>
      <w:pPr>
        <w:pStyle w:val="17"/>
        <w:numPr>
          <w:ilvl w:val="0"/>
          <w:numId w:val="4"/>
        </w:numPr>
        <w:spacing w:line="360" w:lineRule="auto"/>
        <w:ind w:firstLineChars="0"/>
        <w:rPr>
          <w:rFonts w:hint="eastAsia" w:ascii="宋体" w:hAnsi="宋体" w:eastAsia="宋体"/>
          <w:sz w:val="24"/>
        </w:rPr>
      </w:pPr>
      <w:r>
        <w:rPr>
          <w:rFonts w:hint="eastAsia" w:ascii="宋体" w:hAnsi="宋体" w:eastAsia="宋体"/>
          <w:sz w:val="24"/>
        </w:rPr>
        <w:t>中标人负责联系三甲医院给采购人病理团队进行进修和学习，协助医院开展科研项目、提高科室学科水平。</w:t>
      </w:r>
    </w:p>
    <w:p>
      <w:pPr>
        <w:pStyle w:val="17"/>
        <w:numPr>
          <w:ilvl w:val="0"/>
          <w:numId w:val="4"/>
        </w:numPr>
        <w:spacing w:line="360" w:lineRule="auto"/>
        <w:ind w:firstLineChars="0"/>
        <w:rPr>
          <w:rFonts w:ascii="宋体" w:hAnsi="宋体" w:eastAsia="宋体"/>
          <w:sz w:val="24"/>
        </w:rPr>
      </w:pPr>
      <w:r>
        <w:rPr>
          <w:rFonts w:hint="eastAsia" w:ascii="宋体" w:hAnsi="宋体" w:eastAsia="宋体"/>
          <w:sz w:val="24"/>
        </w:rPr>
        <w:t>中标人负责定期安排</w:t>
      </w:r>
      <w:r>
        <w:rPr>
          <w:rFonts w:hint="eastAsia" w:ascii="宋体" w:hAnsi="宋体" w:eastAsia="宋体"/>
          <w:sz w:val="24"/>
          <w:lang w:val="en-US" w:eastAsia="zh-CN"/>
        </w:rPr>
        <w:t>地市</w:t>
      </w:r>
      <w:r>
        <w:rPr>
          <w:rFonts w:hint="eastAsia" w:ascii="宋体" w:hAnsi="宋体" w:eastAsia="宋体"/>
          <w:sz w:val="24"/>
        </w:rPr>
        <w:t>级病理学会委员以上或</w:t>
      </w:r>
      <w:r>
        <w:rPr>
          <w:rFonts w:hint="eastAsia" w:ascii="宋体" w:hAnsi="宋体" w:eastAsia="宋体"/>
          <w:sz w:val="24"/>
          <w:lang w:val="en-US" w:eastAsia="zh-CN"/>
        </w:rPr>
        <w:t>地市</w:t>
      </w:r>
      <w:r>
        <w:rPr>
          <w:rFonts w:hint="eastAsia" w:ascii="宋体" w:hAnsi="宋体" w:eastAsia="宋体"/>
          <w:sz w:val="24"/>
        </w:rPr>
        <w:t>级病理质控中心专家到院指导病理科建设及开展疑难病理讨论、学术讲座及质控工作。</w:t>
      </w:r>
    </w:p>
    <w:p>
      <w:pPr>
        <w:pStyle w:val="17"/>
        <w:numPr>
          <w:ilvl w:val="0"/>
          <w:numId w:val="4"/>
        </w:numPr>
        <w:spacing w:line="360" w:lineRule="auto"/>
        <w:ind w:firstLineChars="0"/>
        <w:rPr>
          <w:rFonts w:ascii="宋体" w:hAnsi="宋体" w:eastAsia="宋体"/>
          <w:sz w:val="24"/>
        </w:rPr>
      </w:pPr>
      <w:r>
        <w:rPr>
          <w:rFonts w:hint="eastAsia" w:ascii="宋体" w:hAnsi="宋体" w:eastAsia="宋体"/>
          <w:sz w:val="24"/>
        </w:rPr>
        <w:t>中标人在科室运营成熟后，协助采购人建立区域远程病理服务网络（包括会诊及线上带教、培训），协助采购人接入区域内下级医疗机构。</w:t>
      </w:r>
    </w:p>
    <w:p>
      <w:pPr>
        <w:pStyle w:val="17"/>
        <w:numPr>
          <w:ilvl w:val="0"/>
          <w:numId w:val="4"/>
        </w:numPr>
        <w:spacing w:line="360" w:lineRule="auto"/>
        <w:ind w:firstLineChars="0"/>
        <w:rPr>
          <w:rFonts w:ascii="宋体" w:hAnsi="宋体" w:eastAsia="宋体"/>
          <w:sz w:val="24"/>
        </w:rPr>
      </w:pPr>
      <w:r>
        <w:rPr>
          <w:rFonts w:hint="eastAsia" w:ascii="宋体" w:hAnsi="宋体" w:eastAsia="宋体"/>
          <w:sz w:val="24"/>
        </w:rPr>
        <w:t>中标人负责对接</w:t>
      </w:r>
      <w:r>
        <w:rPr>
          <w:rFonts w:hint="eastAsia" w:ascii="宋体" w:hAnsi="宋体" w:eastAsia="宋体"/>
          <w:sz w:val="24"/>
          <w:lang w:val="en-US" w:eastAsia="zh-CN"/>
        </w:rPr>
        <w:t>地市级</w:t>
      </w:r>
      <w:r>
        <w:rPr>
          <w:rFonts w:hint="eastAsia" w:ascii="宋体" w:hAnsi="宋体" w:eastAsia="宋体"/>
          <w:sz w:val="24"/>
        </w:rPr>
        <w:t>病理专科联盟牵头单位，合作期内促成采购人与病理专科联盟签署技术帮扶协议。</w:t>
      </w:r>
    </w:p>
    <w:p>
      <w:pPr>
        <w:spacing w:line="360" w:lineRule="auto"/>
        <w:jc w:val="center"/>
        <w:rPr>
          <w:rFonts w:hint="eastAsia" w:ascii="宋体" w:hAnsi="宋体" w:eastAsia="宋体"/>
          <w:b/>
          <w:bCs/>
          <w:sz w:val="24"/>
        </w:rPr>
      </w:pPr>
    </w:p>
    <w:p>
      <w:pPr>
        <w:spacing w:line="360" w:lineRule="auto"/>
        <w:jc w:val="center"/>
        <w:rPr>
          <w:rFonts w:hint="default" w:ascii="宋体" w:hAnsi="宋体" w:eastAsia="宋体"/>
          <w:b/>
          <w:bCs/>
          <w:sz w:val="24"/>
          <w:lang w:val="en-US" w:eastAsia="zh-CN"/>
        </w:rPr>
      </w:pPr>
      <w:r>
        <w:rPr>
          <w:rFonts w:hint="eastAsia" w:ascii="宋体" w:hAnsi="宋体" w:eastAsia="宋体"/>
          <w:b/>
          <w:bCs/>
          <w:sz w:val="24"/>
          <w:lang w:val="en-US" w:eastAsia="zh-CN"/>
        </w:rPr>
        <w:t xml:space="preserve">第三部分 </w:t>
      </w:r>
      <w:r>
        <w:rPr>
          <w:rFonts w:hint="eastAsia" w:ascii="宋体" w:hAnsi="宋体" w:eastAsia="宋体"/>
          <w:b/>
          <w:bCs/>
          <w:sz w:val="24"/>
        </w:rPr>
        <w:t>评审标准</w:t>
      </w:r>
    </w:p>
    <w:p>
      <w:pPr>
        <w:pStyle w:val="6"/>
        <w:spacing w:line="240" w:lineRule="auto"/>
        <w:ind w:left="0" w:leftChars="0" w:firstLine="0"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1.技术评分</w:t>
      </w:r>
      <w:r>
        <w:rPr>
          <w:rFonts w:hint="eastAsia" w:ascii="仿宋" w:hAnsi="仿宋" w:eastAsia="仿宋" w:cs="仿宋"/>
          <w:sz w:val="21"/>
          <w:szCs w:val="21"/>
        </w:rPr>
        <w:t>（</w:t>
      </w:r>
      <w:r>
        <w:rPr>
          <w:rFonts w:hint="eastAsia" w:ascii="仿宋" w:hAnsi="仿宋" w:eastAsia="仿宋" w:cs="仿宋"/>
          <w:sz w:val="21"/>
          <w:szCs w:val="21"/>
          <w:lang w:val="en-US" w:eastAsia="zh-CN"/>
        </w:rPr>
        <w:t>7</w:t>
      </w:r>
      <w:r>
        <w:rPr>
          <w:rFonts w:hint="eastAsia" w:ascii="仿宋" w:hAnsi="仿宋" w:eastAsia="仿宋" w:cs="仿宋"/>
          <w:sz w:val="21"/>
          <w:szCs w:val="21"/>
        </w:rPr>
        <w:t>0分）</w:t>
      </w:r>
      <w:r>
        <w:rPr>
          <w:rFonts w:hint="eastAsia" w:ascii="宋体" w:hAnsi="宋体" w:eastAsia="宋体" w:cstheme="minorBidi"/>
          <w:kern w:val="2"/>
          <w:sz w:val="24"/>
          <w:szCs w:val="24"/>
          <w:lang w:val="en-US" w:eastAsia="zh-CN" w:bidi="ar-SA"/>
        </w:rPr>
        <w:t>：</w:t>
      </w:r>
    </w:p>
    <w:tbl>
      <w:tblPr>
        <w:tblStyle w:val="1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081"/>
        <w:gridCol w:w="777"/>
        <w:gridCol w:w="5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Cs w:val="21"/>
              </w:rPr>
            </w:pPr>
            <w:r>
              <w:rPr>
                <w:rFonts w:hint="eastAsia" w:ascii="仿宋" w:hAnsi="仿宋" w:eastAsia="仿宋" w:cs="仿宋"/>
                <w:b/>
                <w:szCs w:val="21"/>
              </w:rPr>
              <w:t>序号</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Cs w:val="21"/>
              </w:rPr>
            </w:pPr>
            <w:r>
              <w:rPr>
                <w:rFonts w:hint="eastAsia" w:ascii="仿宋" w:hAnsi="仿宋" w:eastAsia="仿宋" w:cs="仿宋"/>
                <w:b/>
                <w:szCs w:val="21"/>
              </w:rPr>
              <w:t>评审分项</w:t>
            </w:r>
          </w:p>
        </w:tc>
        <w:tc>
          <w:tcPr>
            <w:tcW w:w="7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Cs w:val="21"/>
              </w:rPr>
            </w:pPr>
            <w:r>
              <w:rPr>
                <w:rFonts w:hint="eastAsia" w:ascii="仿宋" w:hAnsi="仿宋" w:eastAsia="仿宋" w:cs="仿宋"/>
                <w:b/>
                <w:szCs w:val="21"/>
              </w:rPr>
              <w:t>分值</w:t>
            </w:r>
          </w:p>
        </w:tc>
        <w:tc>
          <w:tcPr>
            <w:tcW w:w="5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Cs w:val="21"/>
              </w:rPr>
            </w:pPr>
            <w:r>
              <w:rPr>
                <w:rFonts w:hint="eastAsia" w:ascii="仿宋" w:hAnsi="仿宋" w:eastAsia="仿宋" w:cs="仿宋"/>
                <w:b/>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1</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服务团队</w:t>
            </w:r>
          </w:p>
        </w:tc>
        <w:tc>
          <w:tcPr>
            <w:tcW w:w="7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10</w:t>
            </w:r>
          </w:p>
        </w:tc>
        <w:tc>
          <w:tcPr>
            <w:tcW w:w="5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szCs w:val="21"/>
              </w:rPr>
            </w:pPr>
            <w:r>
              <w:rPr>
                <w:rFonts w:hint="eastAsia" w:ascii="仿宋" w:hAnsi="仿宋" w:eastAsia="仿宋" w:cs="仿宋"/>
                <w:szCs w:val="21"/>
              </w:rPr>
              <w:t>供应商</w:t>
            </w:r>
            <w:r>
              <w:rPr>
                <w:rFonts w:ascii="仿宋" w:hAnsi="仿宋" w:eastAsia="仿宋" w:cs="仿宋"/>
                <w:szCs w:val="21"/>
              </w:rPr>
              <w:t>具有履行合同所必需的专业技术</w:t>
            </w:r>
            <w:r>
              <w:rPr>
                <w:rFonts w:hint="eastAsia" w:ascii="仿宋" w:hAnsi="仿宋" w:eastAsia="仿宋" w:cs="仿宋"/>
                <w:szCs w:val="21"/>
              </w:rPr>
              <w:t>支持</w:t>
            </w:r>
            <w:r>
              <w:rPr>
                <w:rFonts w:ascii="仿宋" w:hAnsi="仿宋" w:eastAsia="仿宋" w:cs="仿宋"/>
                <w:szCs w:val="21"/>
              </w:rPr>
              <w:t>能力：</w:t>
            </w:r>
          </w:p>
          <w:p>
            <w:pPr>
              <w:widowControl/>
              <w:numPr>
                <w:ilvl w:val="0"/>
                <w:numId w:val="5"/>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病理诊断委托三级甲等综合医院病理科团队进行病理诊断的，得10分；</w:t>
            </w:r>
          </w:p>
          <w:p>
            <w:pPr>
              <w:widowControl/>
              <w:numPr>
                <w:ilvl w:val="0"/>
                <w:numId w:val="5"/>
              </w:numPr>
              <w:jc w:val="left"/>
              <w:rPr>
                <w:rFonts w:hint="eastAsia" w:ascii="仿宋" w:hAnsi="仿宋" w:eastAsia="仿宋" w:cs="仿宋"/>
                <w:szCs w:val="21"/>
              </w:rPr>
            </w:pPr>
            <w:r>
              <w:rPr>
                <w:rFonts w:hint="eastAsia" w:ascii="仿宋" w:hAnsi="仿宋" w:eastAsia="仿宋" w:cs="仿宋"/>
                <w:szCs w:val="21"/>
                <w:lang w:val="en-US" w:eastAsia="zh-CN"/>
              </w:rPr>
              <w:t>病理诊断依托供应商实验室自有</w:t>
            </w:r>
            <w:r>
              <w:rPr>
                <w:rFonts w:hint="eastAsia" w:ascii="仿宋" w:hAnsi="仿宋" w:eastAsia="仿宋" w:cs="仿宋"/>
                <w:szCs w:val="21"/>
              </w:rPr>
              <w:t>病理</w:t>
            </w:r>
            <w:r>
              <w:rPr>
                <w:rFonts w:hint="eastAsia" w:ascii="仿宋" w:hAnsi="仿宋" w:eastAsia="仿宋" w:cs="仿宋"/>
                <w:szCs w:val="21"/>
                <w:lang w:val="en-US" w:eastAsia="zh-CN"/>
              </w:rPr>
              <w:t>人员进行诊断的，得5分；</w:t>
            </w:r>
          </w:p>
          <w:p>
            <w:pPr>
              <w:widowControl/>
              <w:numPr>
                <w:ilvl w:val="0"/>
                <w:numId w:val="0"/>
              </w:numPr>
              <w:jc w:val="left"/>
              <w:rPr>
                <w:rFonts w:hint="eastAsia" w:ascii="仿宋" w:hAnsi="仿宋" w:eastAsia="仿宋" w:cs="仿宋"/>
                <w:szCs w:val="21"/>
              </w:rPr>
            </w:pPr>
            <w:r>
              <w:rPr>
                <w:rFonts w:hint="eastAsia" w:ascii="仿宋" w:hAnsi="仿宋" w:eastAsia="仿宋" w:cs="仿宋"/>
                <w:szCs w:val="21"/>
                <w:lang w:val="en-US" w:eastAsia="zh-CN"/>
              </w:rPr>
              <w:t>（注：需提供三甲医院病理科盖章授权书、病理诊断专家团结简介等相应的证明材料；或提供供应商实验室自有病理医生的资格证书复印件和聘用协议并加盖投标人公章，无提供或资料不全者不得分）。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2</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病理科规划及装修方案</w:t>
            </w:r>
          </w:p>
        </w:tc>
        <w:tc>
          <w:tcPr>
            <w:tcW w:w="7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0</w:t>
            </w:r>
          </w:p>
        </w:tc>
        <w:tc>
          <w:tcPr>
            <w:tcW w:w="5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Cs w:val="21"/>
              </w:rPr>
            </w:pPr>
            <w:r>
              <w:rPr>
                <w:rFonts w:hint="eastAsia" w:ascii="仿宋" w:hAnsi="仿宋" w:eastAsia="仿宋" w:cs="仿宋"/>
                <w:szCs w:val="21"/>
              </w:rPr>
              <w:t>供应商严格按照国家卫生部印发的《病理科建设与管理指南（试行）》等相关规范建设病理科，病理科规划和</w:t>
            </w:r>
            <w:r>
              <w:rPr>
                <w:rFonts w:hint="eastAsia" w:ascii="仿宋" w:hAnsi="仿宋" w:eastAsia="仿宋" w:cs="仿宋"/>
                <w:szCs w:val="21"/>
                <w:lang w:val="en-US" w:eastAsia="zh-CN"/>
              </w:rPr>
              <w:t>装修</w:t>
            </w:r>
            <w:r>
              <w:rPr>
                <w:rFonts w:hint="eastAsia" w:ascii="仿宋" w:hAnsi="仿宋" w:eastAsia="仿宋" w:cs="仿宋"/>
                <w:szCs w:val="21"/>
              </w:rPr>
              <w:t>方案符合相关规范的各项要求：</w:t>
            </w:r>
          </w:p>
          <w:p>
            <w:pPr>
              <w:widowControl/>
              <w:jc w:val="left"/>
              <w:rPr>
                <w:rFonts w:hint="eastAsia" w:ascii="仿宋" w:hAnsi="仿宋" w:eastAsia="仿宋" w:cs="仿宋"/>
                <w:szCs w:val="21"/>
              </w:rPr>
            </w:pPr>
            <w:r>
              <w:rPr>
                <w:rFonts w:hint="eastAsia" w:ascii="仿宋" w:hAnsi="仿宋" w:eastAsia="仿宋" w:cs="仿宋"/>
                <w:szCs w:val="21"/>
              </w:rPr>
              <w:t>1）优：提供的病理科场地规划设计图和</w:t>
            </w:r>
            <w:r>
              <w:rPr>
                <w:rFonts w:hint="eastAsia" w:ascii="仿宋" w:hAnsi="仿宋" w:eastAsia="仿宋" w:cs="仿宋"/>
                <w:szCs w:val="21"/>
                <w:lang w:val="en-US" w:eastAsia="zh-CN"/>
              </w:rPr>
              <w:t>装修</w:t>
            </w:r>
            <w:r>
              <w:rPr>
                <w:rFonts w:hint="eastAsia" w:ascii="仿宋" w:hAnsi="仿宋" w:eastAsia="仿宋" w:cs="仿宋"/>
                <w:szCs w:val="21"/>
              </w:rPr>
              <w:t>方案能满足项目建设目标，得1</w:t>
            </w:r>
            <w:r>
              <w:rPr>
                <w:rFonts w:hint="eastAsia" w:ascii="仿宋" w:hAnsi="仿宋" w:eastAsia="仿宋" w:cs="仿宋"/>
                <w:szCs w:val="21"/>
                <w:lang w:val="en-US" w:eastAsia="zh-CN"/>
              </w:rPr>
              <w:t>0</w:t>
            </w:r>
            <w:r>
              <w:rPr>
                <w:rFonts w:hint="eastAsia" w:ascii="仿宋" w:hAnsi="仿宋" w:eastAsia="仿宋" w:cs="仿宋"/>
                <w:szCs w:val="21"/>
              </w:rPr>
              <w:t>分；</w:t>
            </w:r>
          </w:p>
          <w:p>
            <w:pPr>
              <w:widowControl/>
              <w:jc w:val="left"/>
              <w:rPr>
                <w:rFonts w:hint="eastAsia" w:ascii="仿宋" w:hAnsi="仿宋" w:eastAsia="仿宋" w:cs="仿宋"/>
                <w:szCs w:val="21"/>
              </w:rPr>
            </w:pPr>
            <w:r>
              <w:rPr>
                <w:rFonts w:hint="eastAsia" w:ascii="仿宋" w:hAnsi="仿宋" w:eastAsia="仿宋" w:cs="仿宋"/>
                <w:szCs w:val="21"/>
              </w:rPr>
              <w:t>2）良：提供的场地规划设计图及</w:t>
            </w:r>
            <w:r>
              <w:rPr>
                <w:rFonts w:hint="eastAsia" w:ascii="仿宋" w:hAnsi="仿宋" w:eastAsia="仿宋" w:cs="仿宋"/>
                <w:szCs w:val="21"/>
                <w:lang w:val="en-US" w:eastAsia="zh-CN"/>
              </w:rPr>
              <w:t>装修</w:t>
            </w:r>
            <w:r>
              <w:rPr>
                <w:rFonts w:hint="eastAsia" w:ascii="仿宋" w:hAnsi="仿宋" w:eastAsia="仿宋" w:cs="仿宋"/>
                <w:szCs w:val="21"/>
              </w:rPr>
              <w:t>方案符合建设目标，得</w:t>
            </w:r>
            <w:r>
              <w:rPr>
                <w:rFonts w:hint="eastAsia" w:ascii="仿宋" w:hAnsi="仿宋" w:eastAsia="仿宋" w:cs="仿宋"/>
                <w:szCs w:val="21"/>
                <w:lang w:val="en-US" w:eastAsia="zh-CN"/>
              </w:rPr>
              <w:t>7</w:t>
            </w:r>
            <w:r>
              <w:rPr>
                <w:rFonts w:hint="eastAsia" w:ascii="仿宋" w:hAnsi="仿宋" w:eastAsia="仿宋" w:cs="仿宋"/>
                <w:szCs w:val="21"/>
              </w:rPr>
              <w:t>分；</w:t>
            </w:r>
          </w:p>
          <w:p>
            <w:pPr>
              <w:widowControl/>
              <w:jc w:val="left"/>
              <w:rPr>
                <w:rFonts w:hint="eastAsia" w:ascii="仿宋" w:hAnsi="仿宋" w:eastAsia="仿宋" w:cs="仿宋"/>
                <w:szCs w:val="21"/>
              </w:rPr>
            </w:pPr>
            <w:r>
              <w:rPr>
                <w:rFonts w:hint="eastAsia" w:ascii="仿宋" w:hAnsi="仿宋" w:eastAsia="仿宋" w:cs="仿宋"/>
                <w:szCs w:val="21"/>
              </w:rPr>
              <w:t>3）中：提供的场地规划设计图及</w:t>
            </w:r>
            <w:r>
              <w:rPr>
                <w:rFonts w:hint="eastAsia" w:ascii="仿宋" w:hAnsi="仿宋" w:eastAsia="仿宋" w:cs="仿宋"/>
                <w:szCs w:val="21"/>
                <w:lang w:val="en-US" w:eastAsia="zh-CN"/>
              </w:rPr>
              <w:t>装修</w:t>
            </w:r>
            <w:r>
              <w:rPr>
                <w:rFonts w:hint="eastAsia" w:ascii="仿宋" w:hAnsi="仿宋" w:eastAsia="仿宋" w:cs="仿宋"/>
                <w:szCs w:val="21"/>
              </w:rPr>
              <w:t>方案基本符合建设目标，得4分；</w:t>
            </w:r>
          </w:p>
          <w:p>
            <w:pPr>
              <w:widowControl/>
              <w:jc w:val="left"/>
              <w:rPr>
                <w:rFonts w:hint="eastAsia" w:ascii="仿宋" w:hAnsi="仿宋" w:eastAsia="仿宋" w:cs="仿宋"/>
                <w:szCs w:val="21"/>
              </w:rPr>
            </w:pPr>
            <w:r>
              <w:rPr>
                <w:rFonts w:hint="eastAsia" w:ascii="仿宋" w:hAnsi="仿宋" w:eastAsia="仿宋" w:cs="仿宋"/>
                <w:szCs w:val="21"/>
              </w:rPr>
              <w:t>4）差：提供的场地规划设计图及</w:t>
            </w:r>
            <w:r>
              <w:rPr>
                <w:rFonts w:hint="eastAsia" w:ascii="仿宋" w:hAnsi="仿宋" w:eastAsia="仿宋" w:cs="仿宋"/>
                <w:szCs w:val="21"/>
                <w:lang w:val="en-US" w:eastAsia="zh-CN"/>
              </w:rPr>
              <w:t>装修</w:t>
            </w:r>
            <w:r>
              <w:rPr>
                <w:rFonts w:hint="eastAsia" w:ascii="仿宋" w:hAnsi="仿宋" w:eastAsia="仿宋" w:cs="仿宋"/>
                <w:szCs w:val="21"/>
              </w:rPr>
              <w:t>方案不符合项目建设目标，得0分。</w:t>
            </w:r>
          </w:p>
          <w:p>
            <w:pPr>
              <w:widowControl/>
              <w:jc w:val="left"/>
              <w:rPr>
                <w:rFonts w:hint="eastAsia" w:ascii="仿宋" w:hAnsi="仿宋" w:eastAsia="仿宋" w:cs="仿宋"/>
                <w:szCs w:val="21"/>
              </w:rPr>
            </w:pPr>
            <w:r>
              <w:rPr>
                <w:rFonts w:hint="eastAsia" w:ascii="仿宋" w:hAnsi="仿宋" w:eastAsia="仿宋" w:cs="仿宋"/>
                <w:szCs w:val="21"/>
              </w:rPr>
              <w:t>（注：需提供病理科详细的规划设计图及</w:t>
            </w:r>
            <w:r>
              <w:rPr>
                <w:rFonts w:hint="eastAsia" w:ascii="仿宋" w:hAnsi="仿宋" w:eastAsia="仿宋" w:cs="仿宋"/>
                <w:szCs w:val="21"/>
                <w:lang w:val="en-US" w:eastAsia="zh-CN"/>
              </w:rPr>
              <w:t>装修</w:t>
            </w:r>
            <w:r>
              <w:rPr>
                <w:rFonts w:hint="eastAsia" w:ascii="仿宋" w:hAnsi="仿宋" w:eastAsia="仿宋" w:cs="仿宋"/>
                <w:szCs w:val="21"/>
              </w:rPr>
              <w:t>方案并加盖公章，不提供不得分）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3</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驻点人员及投入设备配置方案</w:t>
            </w:r>
          </w:p>
        </w:tc>
        <w:tc>
          <w:tcPr>
            <w:tcW w:w="7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仿宋" w:hAnsi="仿宋" w:eastAsia="仿宋" w:cs="仿宋"/>
                <w:szCs w:val="21"/>
                <w:lang w:eastAsia="zh-CN"/>
              </w:rPr>
            </w:pPr>
            <w:r>
              <w:rPr>
                <w:rFonts w:hint="eastAsia" w:ascii="仿宋" w:hAnsi="仿宋" w:eastAsia="仿宋" w:cs="仿宋"/>
                <w:szCs w:val="21"/>
                <w:lang w:val="en-US" w:eastAsia="zh-CN"/>
              </w:rPr>
              <w:t>7</w:t>
            </w:r>
          </w:p>
        </w:tc>
        <w:tc>
          <w:tcPr>
            <w:tcW w:w="5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Cs w:val="21"/>
              </w:rPr>
            </w:pPr>
            <w:r>
              <w:rPr>
                <w:rFonts w:hint="eastAsia" w:ascii="仿宋" w:hAnsi="仿宋" w:eastAsia="仿宋" w:cs="仿宋"/>
                <w:szCs w:val="21"/>
              </w:rPr>
              <w:t>供应商提供完善的人员及设备配置方案，其中包含：</w:t>
            </w:r>
          </w:p>
          <w:p>
            <w:pPr>
              <w:widowControl/>
              <w:jc w:val="left"/>
              <w:rPr>
                <w:rFonts w:hint="eastAsia" w:ascii="仿宋" w:hAnsi="仿宋" w:eastAsia="仿宋" w:cs="仿宋"/>
                <w:szCs w:val="21"/>
              </w:rPr>
            </w:pPr>
            <w:r>
              <w:rPr>
                <w:rFonts w:hint="eastAsia" w:ascii="仿宋" w:hAnsi="仿宋" w:eastAsia="仿宋" w:cs="仿宋"/>
                <w:szCs w:val="21"/>
              </w:rPr>
              <w:t>1、能提供</w:t>
            </w:r>
            <w:r>
              <w:rPr>
                <w:rFonts w:hint="eastAsia" w:ascii="仿宋" w:hAnsi="仿宋" w:eastAsia="仿宋" w:cs="仿宋"/>
                <w:szCs w:val="21"/>
                <w:lang w:val="en-US" w:eastAsia="zh-CN"/>
              </w:rPr>
              <w:t>熟练的</w:t>
            </w:r>
            <w:r>
              <w:rPr>
                <w:rFonts w:hint="eastAsia" w:ascii="仿宋" w:hAnsi="仿宋" w:eastAsia="仿宋" w:cs="仿宋"/>
                <w:szCs w:val="21"/>
              </w:rPr>
              <w:t>驻点技术人员</w:t>
            </w:r>
            <w:r>
              <w:rPr>
                <w:rFonts w:hint="eastAsia" w:ascii="仿宋" w:hAnsi="仿宋" w:eastAsia="仿宋" w:cs="仿宋"/>
                <w:szCs w:val="21"/>
                <w:lang w:val="en-US" w:eastAsia="zh-CN"/>
              </w:rPr>
              <w:t>协助科室业务开展</w:t>
            </w:r>
            <w:r>
              <w:rPr>
                <w:rFonts w:hint="eastAsia" w:ascii="仿宋" w:hAnsi="仿宋" w:eastAsia="仿宋" w:cs="仿宋"/>
                <w:szCs w:val="21"/>
              </w:rPr>
              <w:t>；</w:t>
            </w:r>
          </w:p>
          <w:p>
            <w:pPr>
              <w:widowControl/>
              <w:jc w:val="left"/>
              <w:rPr>
                <w:rFonts w:hint="eastAsia" w:ascii="仿宋" w:hAnsi="仿宋" w:eastAsia="仿宋" w:cs="仿宋"/>
                <w:szCs w:val="21"/>
              </w:rPr>
            </w:pPr>
            <w:r>
              <w:rPr>
                <w:rFonts w:hint="eastAsia" w:ascii="仿宋" w:hAnsi="仿宋" w:eastAsia="仿宋" w:cs="仿宋"/>
                <w:szCs w:val="21"/>
              </w:rPr>
              <w:t>2、提供的设备能搭建病理科所需的技术平台，包括常规技术平台、细胞学平台、术中冰冻诊断平台、远程会诊平台、数字化辅助诊断平台等；</w:t>
            </w:r>
          </w:p>
          <w:p>
            <w:pPr>
              <w:widowControl/>
              <w:jc w:val="left"/>
              <w:rPr>
                <w:rFonts w:hint="eastAsia" w:ascii="仿宋" w:hAnsi="仿宋" w:eastAsia="仿宋" w:cs="仿宋"/>
                <w:szCs w:val="21"/>
              </w:rPr>
            </w:pPr>
            <w:r>
              <w:rPr>
                <w:rFonts w:hint="eastAsia" w:ascii="仿宋" w:hAnsi="仿宋" w:eastAsia="仿宋" w:cs="仿宋"/>
                <w:szCs w:val="21"/>
              </w:rPr>
              <w:t>3、提供的设备自动化程度高，利于病理科提高工作效率。</w:t>
            </w:r>
          </w:p>
          <w:p>
            <w:pPr>
              <w:widowControl/>
              <w:jc w:val="left"/>
              <w:rPr>
                <w:rFonts w:hint="eastAsia" w:ascii="仿宋" w:hAnsi="仿宋" w:eastAsia="仿宋" w:cs="仿宋"/>
                <w:szCs w:val="21"/>
              </w:rPr>
            </w:pPr>
            <w:r>
              <w:rPr>
                <w:rFonts w:hint="eastAsia" w:ascii="仿宋" w:hAnsi="仿宋" w:eastAsia="仿宋" w:cs="仿宋"/>
                <w:szCs w:val="21"/>
              </w:rPr>
              <w:t>评审委员会根据供应商提供的方案进行综合评审：</w:t>
            </w:r>
          </w:p>
          <w:p>
            <w:pPr>
              <w:widowControl/>
              <w:jc w:val="left"/>
              <w:rPr>
                <w:rFonts w:hint="eastAsia" w:ascii="仿宋" w:hAnsi="仿宋" w:eastAsia="仿宋" w:cs="仿宋"/>
                <w:szCs w:val="21"/>
              </w:rPr>
            </w:pPr>
            <w:r>
              <w:rPr>
                <w:rFonts w:hint="eastAsia" w:ascii="仿宋" w:hAnsi="仿宋" w:eastAsia="仿宋" w:cs="仿宋"/>
                <w:szCs w:val="21"/>
              </w:rPr>
              <w:t>优：人员、设备配备方案高度符合项目建设目标，得</w:t>
            </w:r>
            <w:r>
              <w:rPr>
                <w:rFonts w:hint="eastAsia" w:ascii="仿宋" w:hAnsi="仿宋" w:eastAsia="仿宋" w:cs="仿宋"/>
                <w:szCs w:val="21"/>
                <w:lang w:val="en-US" w:eastAsia="zh-CN"/>
              </w:rPr>
              <w:t>7</w:t>
            </w:r>
            <w:r>
              <w:rPr>
                <w:rFonts w:hint="eastAsia" w:ascii="仿宋" w:hAnsi="仿宋" w:eastAsia="仿宋" w:cs="仿宋"/>
                <w:szCs w:val="21"/>
              </w:rPr>
              <w:t>分；</w:t>
            </w:r>
          </w:p>
          <w:p>
            <w:pPr>
              <w:widowControl/>
              <w:jc w:val="left"/>
              <w:rPr>
                <w:rFonts w:hint="eastAsia" w:ascii="仿宋" w:hAnsi="仿宋" w:eastAsia="仿宋" w:cs="仿宋"/>
                <w:szCs w:val="21"/>
              </w:rPr>
            </w:pPr>
            <w:r>
              <w:rPr>
                <w:rFonts w:hint="eastAsia" w:ascii="仿宋" w:hAnsi="仿宋" w:eastAsia="仿宋" w:cs="仿宋"/>
                <w:szCs w:val="21"/>
              </w:rPr>
              <w:t>良：人员、设备配备方案符合项目建设目标，得</w:t>
            </w:r>
            <w:r>
              <w:rPr>
                <w:rFonts w:hint="eastAsia" w:ascii="仿宋" w:hAnsi="仿宋" w:eastAsia="仿宋" w:cs="仿宋"/>
                <w:szCs w:val="21"/>
                <w:lang w:val="en-US" w:eastAsia="zh-CN"/>
              </w:rPr>
              <w:t>4</w:t>
            </w:r>
            <w:r>
              <w:rPr>
                <w:rFonts w:hint="eastAsia" w:ascii="仿宋" w:hAnsi="仿宋" w:eastAsia="仿宋" w:cs="仿宋"/>
                <w:szCs w:val="21"/>
              </w:rPr>
              <w:t>分；</w:t>
            </w:r>
          </w:p>
          <w:p>
            <w:pPr>
              <w:widowControl/>
              <w:jc w:val="left"/>
              <w:rPr>
                <w:rFonts w:hint="eastAsia" w:ascii="仿宋" w:hAnsi="仿宋" w:eastAsia="仿宋" w:cs="仿宋"/>
                <w:szCs w:val="21"/>
              </w:rPr>
            </w:pPr>
            <w:r>
              <w:rPr>
                <w:rFonts w:hint="eastAsia" w:ascii="仿宋" w:hAnsi="仿宋" w:eastAsia="仿宋" w:cs="仿宋"/>
                <w:szCs w:val="21"/>
              </w:rPr>
              <w:t>差：人员、设备配备方案不符合项目建设目标，得0分。</w:t>
            </w:r>
          </w:p>
          <w:p>
            <w:pPr>
              <w:widowControl/>
              <w:jc w:val="left"/>
              <w:rPr>
                <w:rFonts w:hint="eastAsia" w:ascii="仿宋" w:hAnsi="仿宋" w:eastAsia="仿宋" w:cs="仿宋"/>
                <w:szCs w:val="21"/>
              </w:rPr>
            </w:pPr>
            <w:r>
              <w:rPr>
                <w:rFonts w:hint="eastAsia" w:ascii="仿宋" w:hAnsi="仿宋" w:eastAsia="仿宋" w:cs="仿宋"/>
                <w:szCs w:val="21"/>
              </w:rPr>
              <w:t>（注：需提供人员相关资料、设备注册证等证明材料，不提供不得分）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4</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售后服务</w:t>
            </w:r>
          </w:p>
        </w:tc>
        <w:tc>
          <w:tcPr>
            <w:tcW w:w="7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10</w:t>
            </w:r>
          </w:p>
        </w:tc>
        <w:tc>
          <w:tcPr>
            <w:tcW w:w="5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szCs w:val="21"/>
              </w:rPr>
            </w:pPr>
            <w:r>
              <w:rPr>
                <w:rFonts w:hint="eastAsia" w:ascii="仿宋" w:hAnsi="仿宋" w:eastAsia="仿宋" w:cs="仿宋"/>
                <w:szCs w:val="21"/>
              </w:rPr>
              <w:t>供应商提供完善</w:t>
            </w:r>
            <w:r>
              <w:rPr>
                <w:rFonts w:hint="eastAsia" w:ascii="仿宋" w:hAnsi="仿宋" w:eastAsia="仿宋" w:cs="仿宋"/>
                <w:szCs w:val="21"/>
                <w:lang w:val="en-US" w:eastAsia="zh-CN"/>
              </w:rPr>
              <w:t>的设备</w:t>
            </w:r>
            <w:r>
              <w:rPr>
                <w:rFonts w:hint="eastAsia" w:ascii="仿宋" w:hAnsi="仿宋" w:eastAsia="仿宋" w:cs="仿宋"/>
                <w:szCs w:val="21"/>
              </w:rPr>
              <w:t>售后服务体系并拥有6人以上（含6人）售后服务团队，得</w:t>
            </w:r>
            <w:r>
              <w:rPr>
                <w:rFonts w:hint="eastAsia" w:ascii="仿宋" w:hAnsi="仿宋" w:eastAsia="仿宋" w:cs="仿宋"/>
                <w:szCs w:val="21"/>
                <w:lang w:val="en-US" w:eastAsia="zh-CN"/>
              </w:rPr>
              <w:t>10</w:t>
            </w:r>
            <w:r>
              <w:rPr>
                <w:rFonts w:hint="eastAsia" w:ascii="仿宋" w:hAnsi="仿宋" w:eastAsia="仿宋" w:cs="仿宋"/>
                <w:szCs w:val="21"/>
              </w:rPr>
              <w:t>分；拥有3-6人的售后服务团队，得</w:t>
            </w:r>
            <w:r>
              <w:rPr>
                <w:rFonts w:hint="eastAsia" w:ascii="仿宋" w:hAnsi="仿宋" w:eastAsia="仿宋" w:cs="仿宋"/>
                <w:szCs w:val="21"/>
                <w:lang w:val="en-US" w:eastAsia="zh-CN"/>
              </w:rPr>
              <w:t>7</w:t>
            </w:r>
            <w:r>
              <w:rPr>
                <w:rFonts w:hint="eastAsia" w:ascii="仿宋" w:hAnsi="仿宋" w:eastAsia="仿宋" w:cs="仿宋"/>
                <w:szCs w:val="21"/>
              </w:rPr>
              <w:t>分；拥有3人以下（含3人）的售后服务团队，得</w:t>
            </w:r>
            <w:r>
              <w:rPr>
                <w:rFonts w:hint="eastAsia" w:ascii="仿宋" w:hAnsi="仿宋" w:eastAsia="仿宋" w:cs="仿宋"/>
                <w:szCs w:val="21"/>
                <w:lang w:val="en-US" w:eastAsia="zh-CN"/>
              </w:rPr>
              <w:t>0</w:t>
            </w:r>
            <w:r>
              <w:rPr>
                <w:rFonts w:hint="eastAsia" w:ascii="仿宋" w:hAnsi="仿宋" w:eastAsia="仿宋" w:cs="仿宋"/>
                <w:szCs w:val="21"/>
              </w:rPr>
              <w:t>分。</w:t>
            </w:r>
          </w:p>
          <w:p>
            <w:pPr>
              <w:widowControl/>
              <w:jc w:val="left"/>
              <w:rPr>
                <w:rFonts w:hint="eastAsia" w:ascii="仿宋" w:hAnsi="仿宋" w:eastAsia="仿宋" w:cs="仿宋"/>
                <w:szCs w:val="21"/>
              </w:rPr>
            </w:pPr>
            <w:r>
              <w:rPr>
                <w:rFonts w:hint="eastAsia" w:ascii="仿宋" w:hAnsi="仿宋" w:eastAsia="仿宋" w:cs="仿宋"/>
                <w:szCs w:val="21"/>
              </w:rPr>
              <w:t>（注：提供</w:t>
            </w:r>
            <w:r>
              <w:rPr>
                <w:rFonts w:hint="eastAsia" w:ascii="仿宋" w:hAnsi="仿宋" w:eastAsia="仿宋" w:cs="仿宋"/>
                <w:szCs w:val="21"/>
                <w:lang w:val="en-US" w:eastAsia="zh-CN"/>
              </w:rPr>
              <w:t>设备</w:t>
            </w:r>
            <w:r>
              <w:rPr>
                <w:rFonts w:hint="eastAsia" w:ascii="仿宋" w:hAnsi="仿宋" w:eastAsia="仿宋" w:cs="仿宋"/>
                <w:szCs w:val="21"/>
              </w:rPr>
              <w:t>厂家售后支持人员名单及和</w:t>
            </w:r>
            <w:r>
              <w:rPr>
                <w:rFonts w:hint="eastAsia" w:ascii="仿宋" w:hAnsi="仿宋" w:eastAsia="仿宋" w:cs="仿宋"/>
                <w:szCs w:val="21"/>
                <w:lang w:val="en-US" w:eastAsia="zh-CN"/>
              </w:rPr>
              <w:t>设备</w:t>
            </w:r>
            <w:r>
              <w:rPr>
                <w:rFonts w:hint="eastAsia" w:ascii="仿宋" w:hAnsi="仿宋" w:eastAsia="仿宋" w:cs="仿宋"/>
                <w:szCs w:val="21"/>
              </w:rPr>
              <w:t>厂家为其缴纳的近半年的社保证明或聘用协议，并加盖厂家及供应商公章，无提供或资料不全者不得分）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5</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信息化服务能力</w:t>
            </w:r>
          </w:p>
        </w:tc>
        <w:tc>
          <w:tcPr>
            <w:tcW w:w="7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13</w:t>
            </w:r>
          </w:p>
        </w:tc>
        <w:tc>
          <w:tcPr>
            <w:tcW w:w="5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Cs w:val="21"/>
                <w:lang w:val="en-US" w:eastAsia="zh-CN"/>
              </w:rPr>
            </w:pPr>
            <w:r>
              <w:rPr>
                <w:rFonts w:hint="eastAsia" w:ascii="仿宋" w:hAnsi="仿宋" w:eastAsia="仿宋" w:cs="仿宋"/>
                <w:szCs w:val="21"/>
                <w:lang w:val="en-US" w:eastAsia="zh-CN"/>
              </w:rPr>
              <w:t>投标人拥有完善的信息化服务能力，能提供满足需求的病理报告系统；可根据需求，提供远程教学平台，链接平台专业培训资源，为病理医技人员提供持续的继续教育培训，提升病理技术水平。</w:t>
            </w:r>
          </w:p>
          <w:p>
            <w:pPr>
              <w:widowControl/>
              <w:jc w:val="left"/>
              <w:rPr>
                <w:rFonts w:hint="eastAsia" w:ascii="仿宋" w:hAnsi="仿宋" w:eastAsia="仿宋" w:cs="仿宋"/>
                <w:szCs w:val="21"/>
                <w:lang w:val="en-US" w:eastAsia="zh-CN"/>
              </w:rPr>
            </w:pPr>
            <w:r>
              <w:rPr>
                <w:rFonts w:hint="eastAsia" w:ascii="仿宋" w:hAnsi="仿宋" w:eastAsia="仿宋" w:cs="仿宋"/>
                <w:szCs w:val="21"/>
                <w:lang w:val="en-US" w:eastAsia="zh-CN"/>
              </w:rPr>
              <w:t>1、投标人具备完善的病理数字化与智能化研发和服务能力，为项目提供的信息系统功能完善，集成度高：</w:t>
            </w:r>
          </w:p>
          <w:p>
            <w:pPr>
              <w:widowControl/>
              <w:jc w:val="left"/>
              <w:rPr>
                <w:rFonts w:hint="eastAsia" w:ascii="仿宋" w:hAnsi="仿宋" w:eastAsia="仿宋" w:cs="仿宋"/>
                <w:szCs w:val="21"/>
                <w:lang w:val="en-US" w:eastAsia="zh-CN"/>
              </w:rPr>
            </w:pPr>
            <w:r>
              <w:rPr>
                <w:rFonts w:hint="eastAsia" w:ascii="仿宋" w:hAnsi="仿宋" w:eastAsia="仿宋" w:cs="仿宋"/>
                <w:szCs w:val="21"/>
                <w:lang w:val="en-US" w:eastAsia="zh-CN"/>
              </w:rPr>
              <w:t>投标人提供的系统为一体化信息系统，集成本地报告、远程会诊、AI辅助诊断，能满足并提高采购人的工作效率，每提供1项系统集成得2分，满分6分。</w:t>
            </w:r>
          </w:p>
          <w:p>
            <w:pPr>
              <w:widowControl/>
              <w:jc w:val="left"/>
              <w:rPr>
                <w:rFonts w:hint="eastAsia" w:ascii="仿宋" w:hAnsi="仿宋" w:eastAsia="仿宋" w:cs="仿宋"/>
                <w:szCs w:val="21"/>
                <w:lang w:val="en-US" w:eastAsia="zh-CN"/>
              </w:rPr>
            </w:pPr>
          </w:p>
          <w:p>
            <w:pPr>
              <w:widowControl/>
              <w:jc w:val="left"/>
              <w:rPr>
                <w:rFonts w:hint="default" w:ascii="仿宋" w:hAnsi="仿宋" w:eastAsia="仿宋" w:cs="仿宋"/>
                <w:szCs w:val="21"/>
                <w:lang w:val="en-US" w:eastAsia="zh-CN"/>
              </w:rPr>
            </w:pPr>
            <w:r>
              <w:rPr>
                <w:rFonts w:hint="eastAsia" w:ascii="仿宋" w:hAnsi="仿宋" w:eastAsia="仿宋" w:cs="仿宋"/>
                <w:szCs w:val="21"/>
                <w:lang w:val="en-US" w:eastAsia="zh-CN"/>
              </w:rPr>
              <w:t>2、投标人可根据需求，搭建线上-线下病理交流平台。</w:t>
            </w:r>
          </w:p>
          <w:p>
            <w:pPr>
              <w:widowControl/>
              <w:jc w:val="left"/>
              <w:rPr>
                <w:rFonts w:hint="eastAsia" w:ascii="仿宋" w:hAnsi="仿宋" w:eastAsia="仿宋" w:cs="仿宋"/>
                <w:szCs w:val="21"/>
                <w:lang w:val="en-US" w:eastAsia="zh-CN"/>
              </w:rPr>
            </w:pPr>
            <w:r>
              <w:rPr>
                <w:rFonts w:hint="eastAsia" w:ascii="仿宋" w:hAnsi="仿宋" w:eastAsia="仿宋" w:cs="仿宋"/>
                <w:szCs w:val="21"/>
                <w:lang w:val="en-US" w:eastAsia="zh-CN"/>
              </w:rPr>
              <w:t>①投标人拥有自主开发的线上病理人才培训平台，提供病理人才系列培训课程，累计课程超过1000讲，且具备完善的病理亚专科学习内容（涵盖：如组织病理诊断、细胞病理诊断、免疫组织化学应用、FISH临床应用、病理诊断规范化培训等系统性的线上培训课程）；</w:t>
            </w:r>
          </w:p>
          <w:p>
            <w:pPr>
              <w:widowControl/>
              <w:jc w:val="left"/>
              <w:rPr>
                <w:rFonts w:hint="eastAsia" w:ascii="仿宋" w:hAnsi="仿宋" w:eastAsia="仿宋" w:cs="仿宋"/>
                <w:szCs w:val="21"/>
                <w:lang w:val="en-US" w:eastAsia="zh-CN"/>
              </w:rPr>
            </w:pPr>
            <w:r>
              <w:rPr>
                <w:rFonts w:hint="eastAsia" w:ascii="仿宋" w:hAnsi="仿宋" w:eastAsia="仿宋" w:cs="仿宋"/>
                <w:szCs w:val="21"/>
                <w:lang w:val="en-US" w:eastAsia="zh-CN"/>
              </w:rPr>
              <w:t>②投标人可提供线下交流活动：可协助不定期组织当地三甲医院高级职称病理专家为医院提供临床协作服务支持和病理学科建设提升服务，包括技术带教、专题讲座、学术交流等。</w:t>
            </w:r>
          </w:p>
          <w:p>
            <w:pPr>
              <w:widowControl/>
              <w:jc w:val="left"/>
              <w:rPr>
                <w:rFonts w:hint="eastAsia" w:ascii="仿宋" w:hAnsi="仿宋" w:eastAsia="仿宋" w:cs="仿宋"/>
                <w:szCs w:val="21"/>
              </w:rPr>
            </w:pPr>
            <w:r>
              <w:rPr>
                <w:rFonts w:hint="eastAsia" w:ascii="仿宋" w:hAnsi="仿宋" w:eastAsia="仿宋" w:cs="仿宋"/>
                <w:szCs w:val="21"/>
              </w:rPr>
              <w:t>1）优：提供</w:t>
            </w:r>
            <w:r>
              <w:rPr>
                <w:rFonts w:hint="eastAsia" w:ascii="仿宋" w:hAnsi="仿宋" w:eastAsia="仿宋" w:cs="仿宋"/>
                <w:szCs w:val="21"/>
                <w:lang w:val="en-US" w:eastAsia="zh-CN"/>
              </w:rPr>
              <w:t>优质的线上线下学术交流平台，提供</w:t>
            </w:r>
            <w:r>
              <w:rPr>
                <w:rFonts w:hint="eastAsia" w:ascii="仿宋" w:hAnsi="仿宋" w:eastAsia="仿宋" w:cs="仿宋"/>
                <w:szCs w:val="21"/>
              </w:rPr>
              <w:t>全面、系统、连续的</w:t>
            </w:r>
            <w:r>
              <w:rPr>
                <w:rFonts w:hint="eastAsia" w:ascii="仿宋" w:hAnsi="仿宋" w:eastAsia="仿宋" w:cs="仿宋"/>
                <w:szCs w:val="21"/>
                <w:lang w:val="en-US" w:eastAsia="zh-CN"/>
              </w:rPr>
              <w:t>线上</w:t>
            </w:r>
            <w:r>
              <w:rPr>
                <w:rFonts w:hint="eastAsia" w:ascii="仿宋" w:hAnsi="仿宋" w:eastAsia="仿宋" w:cs="仿宋"/>
                <w:szCs w:val="21"/>
              </w:rPr>
              <w:t>培训</w:t>
            </w:r>
            <w:r>
              <w:rPr>
                <w:rFonts w:hint="eastAsia" w:ascii="仿宋" w:hAnsi="仿宋" w:eastAsia="仿宋" w:cs="仿宋"/>
                <w:szCs w:val="21"/>
                <w:lang w:val="en-US" w:eastAsia="zh-CN"/>
              </w:rPr>
              <w:t>方案</w:t>
            </w:r>
            <w:r>
              <w:rPr>
                <w:rFonts w:hint="eastAsia" w:ascii="仿宋" w:hAnsi="仿宋" w:eastAsia="仿宋" w:cs="仿宋"/>
                <w:szCs w:val="21"/>
              </w:rPr>
              <w:t>、</w:t>
            </w:r>
            <w:r>
              <w:rPr>
                <w:rFonts w:hint="eastAsia" w:ascii="仿宋" w:hAnsi="仿宋" w:eastAsia="仿宋" w:cs="仿宋"/>
                <w:szCs w:val="21"/>
                <w:lang w:val="en-US" w:eastAsia="zh-CN"/>
              </w:rPr>
              <w:t>提供完善线下学术交流方案</w:t>
            </w:r>
            <w:r>
              <w:rPr>
                <w:rFonts w:hint="eastAsia" w:ascii="仿宋" w:hAnsi="仿宋" w:eastAsia="仿宋" w:cs="仿宋"/>
                <w:szCs w:val="21"/>
              </w:rPr>
              <w:t>等，</w:t>
            </w:r>
            <w:r>
              <w:rPr>
                <w:rFonts w:hint="eastAsia" w:ascii="仿宋" w:hAnsi="仿宋" w:eastAsia="仿宋" w:cs="仿宋"/>
                <w:szCs w:val="21"/>
                <w:lang w:val="en-US" w:eastAsia="zh-CN"/>
              </w:rPr>
              <w:t>且</w:t>
            </w:r>
            <w:r>
              <w:rPr>
                <w:rFonts w:hint="eastAsia" w:ascii="仿宋" w:hAnsi="仿宋" w:eastAsia="仿宋" w:cs="仿宋"/>
                <w:szCs w:val="21"/>
              </w:rPr>
              <w:t>配套</w:t>
            </w:r>
            <w:r>
              <w:rPr>
                <w:rFonts w:hint="eastAsia" w:ascii="仿宋" w:hAnsi="仿宋" w:eastAsia="仿宋" w:cs="仿宋"/>
                <w:szCs w:val="21"/>
                <w:lang w:val="en-US" w:eastAsia="zh-CN"/>
              </w:rPr>
              <w:t>学术</w:t>
            </w:r>
            <w:r>
              <w:rPr>
                <w:rFonts w:hint="eastAsia" w:ascii="仿宋" w:hAnsi="仿宋" w:eastAsia="仿宋" w:cs="仿宋"/>
                <w:szCs w:val="21"/>
              </w:rPr>
              <w:t>工具完善可行性高</w:t>
            </w:r>
            <w:r>
              <w:rPr>
                <w:rFonts w:hint="eastAsia" w:ascii="仿宋" w:hAnsi="仿宋" w:eastAsia="仿宋" w:cs="仿宋"/>
                <w:szCs w:val="21"/>
                <w:lang w:eastAsia="zh-CN"/>
              </w:rPr>
              <w:t>，</w:t>
            </w:r>
            <w:r>
              <w:rPr>
                <w:rFonts w:hint="eastAsia" w:ascii="仿宋" w:hAnsi="仿宋" w:eastAsia="仿宋" w:cs="仿宋"/>
                <w:szCs w:val="21"/>
                <w:lang w:val="en-US" w:eastAsia="zh-CN"/>
              </w:rPr>
              <w:t>实用性强</w:t>
            </w:r>
            <w:r>
              <w:rPr>
                <w:rFonts w:hint="eastAsia" w:ascii="仿宋" w:hAnsi="仿宋" w:eastAsia="仿宋" w:cs="仿宋"/>
                <w:szCs w:val="21"/>
              </w:rPr>
              <w:t>，高度符合项目需求的，得</w:t>
            </w:r>
            <w:r>
              <w:rPr>
                <w:rFonts w:hint="eastAsia" w:ascii="仿宋" w:hAnsi="仿宋" w:eastAsia="仿宋" w:cs="仿宋"/>
                <w:szCs w:val="21"/>
                <w:lang w:val="en-US" w:eastAsia="zh-CN"/>
              </w:rPr>
              <w:t>7</w:t>
            </w:r>
            <w:r>
              <w:rPr>
                <w:rFonts w:hint="eastAsia" w:ascii="仿宋" w:hAnsi="仿宋" w:eastAsia="仿宋" w:cs="仿宋"/>
                <w:szCs w:val="21"/>
              </w:rPr>
              <w:t>分。</w:t>
            </w:r>
          </w:p>
          <w:p>
            <w:pPr>
              <w:widowControl/>
              <w:jc w:val="left"/>
              <w:rPr>
                <w:rFonts w:hint="eastAsia" w:ascii="仿宋" w:hAnsi="仿宋" w:eastAsia="仿宋" w:cs="仿宋"/>
                <w:szCs w:val="21"/>
              </w:rPr>
            </w:pPr>
            <w:r>
              <w:rPr>
                <w:rFonts w:hint="eastAsia" w:ascii="仿宋" w:hAnsi="仿宋" w:eastAsia="仿宋" w:cs="仿宋"/>
                <w:szCs w:val="21"/>
              </w:rPr>
              <w:t>2）良：服务方案的整体完善，可行性高，符合项目需求，得</w:t>
            </w:r>
            <w:r>
              <w:rPr>
                <w:rFonts w:hint="eastAsia" w:ascii="仿宋" w:hAnsi="仿宋" w:eastAsia="仿宋" w:cs="仿宋"/>
                <w:szCs w:val="21"/>
                <w:lang w:val="en-US" w:eastAsia="zh-CN"/>
              </w:rPr>
              <w:t>3</w:t>
            </w:r>
            <w:r>
              <w:rPr>
                <w:rFonts w:hint="eastAsia" w:ascii="仿宋" w:hAnsi="仿宋" w:eastAsia="仿宋" w:cs="仿宋"/>
                <w:szCs w:val="21"/>
              </w:rPr>
              <w:t>分。</w:t>
            </w:r>
          </w:p>
          <w:p>
            <w:pPr>
              <w:widowControl/>
              <w:jc w:val="left"/>
              <w:rPr>
                <w:rFonts w:hint="eastAsia" w:ascii="仿宋" w:hAnsi="仿宋" w:eastAsia="仿宋" w:cs="仿宋"/>
                <w:szCs w:val="21"/>
              </w:rPr>
            </w:pPr>
            <w:r>
              <w:rPr>
                <w:rFonts w:hint="eastAsia" w:ascii="仿宋" w:hAnsi="仿宋" w:eastAsia="仿宋" w:cs="仿宋"/>
                <w:szCs w:val="21"/>
              </w:rPr>
              <w:t>3）中：服务方案基本完整，具备一定可行性，基本符合项目需求，得</w:t>
            </w:r>
            <w:r>
              <w:rPr>
                <w:rFonts w:hint="eastAsia" w:ascii="仿宋" w:hAnsi="仿宋" w:eastAsia="仿宋" w:cs="仿宋"/>
                <w:szCs w:val="21"/>
                <w:lang w:val="en-US" w:eastAsia="zh-CN"/>
              </w:rPr>
              <w:t>1</w:t>
            </w:r>
            <w:r>
              <w:rPr>
                <w:rFonts w:hint="eastAsia" w:ascii="仿宋" w:hAnsi="仿宋" w:eastAsia="仿宋" w:cs="仿宋"/>
                <w:szCs w:val="21"/>
              </w:rPr>
              <w:t>分。</w:t>
            </w:r>
          </w:p>
          <w:p>
            <w:pPr>
              <w:widowControl/>
              <w:jc w:val="left"/>
              <w:rPr>
                <w:rFonts w:hint="eastAsia" w:ascii="仿宋" w:hAnsi="仿宋" w:eastAsia="仿宋" w:cs="仿宋"/>
                <w:szCs w:val="21"/>
              </w:rPr>
            </w:pPr>
            <w:r>
              <w:rPr>
                <w:rFonts w:hint="eastAsia" w:ascii="仿宋" w:hAnsi="仿宋" w:eastAsia="仿宋" w:cs="仿宋"/>
                <w:szCs w:val="21"/>
              </w:rPr>
              <w:t>4）差：服务方案的整体差，不符合项目需求，得0分。</w:t>
            </w:r>
          </w:p>
          <w:p>
            <w:pPr>
              <w:widowControl/>
              <w:jc w:val="left"/>
              <w:rPr>
                <w:rFonts w:hint="eastAsia" w:ascii="仿宋" w:hAnsi="仿宋" w:eastAsia="仿宋" w:cs="仿宋"/>
                <w:szCs w:val="21"/>
                <w:lang w:val="en-US" w:eastAsia="zh-CN"/>
              </w:rPr>
            </w:pPr>
          </w:p>
          <w:p>
            <w:pPr>
              <w:widowControl/>
              <w:jc w:val="left"/>
              <w:rPr>
                <w:rFonts w:hint="eastAsia" w:ascii="仿宋" w:hAnsi="仿宋" w:eastAsia="仿宋" w:cs="仿宋"/>
                <w:szCs w:val="21"/>
              </w:rPr>
            </w:pPr>
            <w:r>
              <w:rPr>
                <w:rFonts w:hint="eastAsia" w:ascii="仿宋" w:hAnsi="仿宋" w:eastAsia="仿宋" w:cs="仿宋"/>
                <w:szCs w:val="21"/>
                <w:lang w:val="en-US" w:eastAsia="zh-CN"/>
              </w:rPr>
              <w:t>（注：提供系统说明书、系统功能截图、平台相关截图等证明资料，加盖投标人公章，不提供不得分）</w:t>
            </w:r>
          </w:p>
          <w:p>
            <w:pPr>
              <w:pStyle w:val="2"/>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6</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病理人才培养方案</w:t>
            </w:r>
          </w:p>
        </w:tc>
        <w:tc>
          <w:tcPr>
            <w:tcW w:w="7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lang w:eastAsia="zh-CN"/>
              </w:rPr>
            </w:pPr>
            <w:r>
              <w:rPr>
                <w:rFonts w:hint="eastAsia" w:ascii="仿宋" w:hAnsi="仿宋" w:eastAsia="仿宋" w:cs="仿宋"/>
                <w:szCs w:val="21"/>
                <w:lang w:val="en-US" w:eastAsia="zh-CN"/>
              </w:rPr>
              <w:t>7</w:t>
            </w:r>
          </w:p>
        </w:tc>
        <w:tc>
          <w:tcPr>
            <w:tcW w:w="5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Cs w:val="21"/>
              </w:rPr>
            </w:pPr>
            <w:r>
              <w:rPr>
                <w:rFonts w:hint="eastAsia" w:ascii="仿宋" w:hAnsi="仿宋" w:eastAsia="仿宋" w:cs="仿宋"/>
                <w:szCs w:val="21"/>
              </w:rPr>
              <w:t>根据供应商所提供病理人才培养方案的整体质量、可行性进行打分：</w:t>
            </w:r>
          </w:p>
          <w:p>
            <w:pPr>
              <w:widowControl/>
              <w:jc w:val="left"/>
              <w:rPr>
                <w:rFonts w:hint="eastAsia" w:ascii="仿宋" w:hAnsi="仿宋" w:eastAsia="仿宋" w:cs="仿宋"/>
                <w:szCs w:val="21"/>
              </w:rPr>
            </w:pPr>
            <w:r>
              <w:rPr>
                <w:rFonts w:hint="eastAsia" w:ascii="仿宋" w:hAnsi="仿宋" w:eastAsia="仿宋" w:cs="仿宋"/>
                <w:szCs w:val="21"/>
              </w:rPr>
              <w:t>1）优：服务方案的整体清晰、完善，提供包括人才培养的硬件设备、配套软件、专家支持等，配套工具完善可行性高，且高度符合项目需求的，得</w:t>
            </w:r>
            <w:r>
              <w:rPr>
                <w:rFonts w:hint="eastAsia" w:ascii="仿宋" w:hAnsi="仿宋" w:eastAsia="仿宋" w:cs="仿宋"/>
                <w:szCs w:val="21"/>
                <w:lang w:val="en-US" w:eastAsia="zh-CN"/>
              </w:rPr>
              <w:t>7</w:t>
            </w:r>
            <w:r>
              <w:rPr>
                <w:rFonts w:hint="eastAsia" w:ascii="仿宋" w:hAnsi="仿宋" w:eastAsia="仿宋" w:cs="仿宋"/>
                <w:szCs w:val="21"/>
              </w:rPr>
              <w:t>分。</w:t>
            </w:r>
          </w:p>
          <w:p>
            <w:pPr>
              <w:widowControl/>
              <w:jc w:val="left"/>
              <w:rPr>
                <w:rFonts w:hint="eastAsia" w:ascii="仿宋" w:hAnsi="仿宋" w:eastAsia="仿宋" w:cs="仿宋"/>
                <w:szCs w:val="21"/>
              </w:rPr>
            </w:pPr>
            <w:r>
              <w:rPr>
                <w:rFonts w:hint="eastAsia" w:ascii="仿宋" w:hAnsi="仿宋" w:eastAsia="仿宋" w:cs="仿宋"/>
                <w:szCs w:val="21"/>
              </w:rPr>
              <w:t>2）良：服务方案的整体质量方案完善，可行性高，符合项目需求，得</w:t>
            </w:r>
            <w:r>
              <w:rPr>
                <w:rFonts w:hint="eastAsia" w:ascii="仿宋" w:hAnsi="仿宋" w:eastAsia="仿宋" w:cs="仿宋"/>
                <w:szCs w:val="21"/>
                <w:lang w:val="en-US" w:eastAsia="zh-CN"/>
              </w:rPr>
              <w:t>3</w:t>
            </w:r>
            <w:r>
              <w:rPr>
                <w:rFonts w:hint="eastAsia" w:ascii="仿宋" w:hAnsi="仿宋" w:eastAsia="仿宋" w:cs="仿宋"/>
                <w:szCs w:val="21"/>
              </w:rPr>
              <w:t>分。</w:t>
            </w:r>
          </w:p>
          <w:p>
            <w:pPr>
              <w:widowControl/>
              <w:jc w:val="left"/>
              <w:rPr>
                <w:rFonts w:hint="eastAsia" w:ascii="仿宋" w:hAnsi="仿宋" w:eastAsia="仿宋" w:cs="仿宋"/>
                <w:szCs w:val="21"/>
              </w:rPr>
            </w:pPr>
            <w:r>
              <w:rPr>
                <w:rFonts w:hint="eastAsia" w:ascii="仿宋" w:hAnsi="仿宋" w:eastAsia="仿宋" w:cs="仿宋"/>
                <w:szCs w:val="21"/>
              </w:rPr>
              <w:t>3）中：服务方案的整体质量方案基本完整，具备一定可行性，基本符合项目需求，得</w:t>
            </w:r>
            <w:r>
              <w:rPr>
                <w:rFonts w:hint="eastAsia" w:ascii="仿宋" w:hAnsi="仿宋" w:eastAsia="仿宋" w:cs="仿宋"/>
                <w:szCs w:val="21"/>
                <w:lang w:val="en-US" w:eastAsia="zh-CN"/>
              </w:rPr>
              <w:t>1</w:t>
            </w:r>
            <w:r>
              <w:rPr>
                <w:rFonts w:hint="eastAsia" w:ascii="仿宋" w:hAnsi="仿宋" w:eastAsia="仿宋" w:cs="仿宋"/>
                <w:szCs w:val="21"/>
              </w:rPr>
              <w:t>分。</w:t>
            </w:r>
          </w:p>
          <w:p>
            <w:pPr>
              <w:widowControl/>
              <w:jc w:val="left"/>
              <w:rPr>
                <w:rFonts w:hint="eastAsia" w:ascii="仿宋" w:hAnsi="仿宋" w:eastAsia="仿宋" w:cs="仿宋"/>
                <w:szCs w:val="21"/>
              </w:rPr>
            </w:pPr>
            <w:r>
              <w:rPr>
                <w:rFonts w:hint="eastAsia" w:ascii="仿宋" w:hAnsi="仿宋" w:eastAsia="仿宋" w:cs="仿宋"/>
                <w:szCs w:val="21"/>
              </w:rPr>
              <w:t>4）差：服务方案的整体质量方案差，不符合项目需求，得0分。</w:t>
            </w:r>
          </w:p>
          <w:p>
            <w:pPr>
              <w:widowControl/>
              <w:jc w:val="left"/>
              <w:rPr>
                <w:rFonts w:hint="eastAsia" w:ascii="仿宋" w:hAnsi="仿宋" w:eastAsia="仿宋" w:cs="仿宋"/>
                <w:szCs w:val="21"/>
              </w:rPr>
            </w:pPr>
            <w:r>
              <w:rPr>
                <w:rFonts w:hint="eastAsia" w:ascii="仿宋" w:hAnsi="仿宋" w:eastAsia="仿宋" w:cs="仿宋"/>
                <w:szCs w:val="21"/>
              </w:rPr>
              <w:t>（注：需提供配套工具说明，包括硬件及软件等，并提供至少一个成功实施案例证明材料，不提供不得分）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7</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质量管理支持服务能力</w:t>
            </w:r>
          </w:p>
        </w:tc>
        <w:tc>
          <w:tcPr>
            <w:tcW w:w="7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6</w:t>
            </w:r>
          </w:p>
        </w:tc>
        <w:tc>
          <w:tcPr>
            <w:tcW w:w="5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Cs w:val="21"/>
              </w:rPr>
            </w:pPr>
            <w:r>
              <w:rPr>
                <w:rFonts w:hint="eastAsia" w:ascii="仿宋" w:hAnsi="仿宋" w:eastAsia="仿宋" w:cs="仿宋"/>
                <w:szCs w:val="21"/>
              </w:rPr>
              <w:t>供应商提供质量管理体系搭建和质量管理专家指导服务，提供承诺函及实施方案：</w:t>
            </w:r>
          </w:p>
          <w:p>
            <w:pPr>
              <w:widowControl/>
              <w:jc w:val="left"/>
              <w:rPr>
                <w:rFonts w:hint="eastAsia" w:ascii="仿宋" w:hAnsi="仿宋" w:eastAsia="仿宋" w:cs="仿宋"/>
                <w:szCs w:val="21"/>
              </w:rPr>
            </w:pPr>
            <w:r>
              <w:rPr>
                <w:rFonts w:hint="eastAsia" w:ascii="仿宋" w:hAnsi="仿宋" w:eastAsia="仿宋" w:cs="仿宋"/>
                <w:szCs w:val="21"/>
              </w:rPr>
              <w:t>1）提供质量管理体系搭建服务，得2分；</w:t>
            </w:r>
          </w:p>
          <w:p>
            <w:pPr>
              <w:widowControl/>
              <w:jc w:val="left"/>
              <w:rPr>
                <w:rFonts w:hint="eastAsia" w:ascii="仿宋" w:hAnsi="仿宋" w:eastAsia="仿宋" w:cs="仿宋"/>
                <w:szCs w:val="21"/>
              </w:rPr>
            </w:pPr>
            <w:r>
              <w:rPr>
                <w:rFonts w:hint="eastAsia" w:ascii="仿宋" w:hAnsi="仿宋" w:eastAsia="仿宋" w:cs="仿宋"/>
                <w:szCs w:val="21"/>
              </w:rPr>
              <w:t>2）提供地市级以上病理质控中心</w:t>
            </w:r>
            <w:r>
              <w:rPr>
                <w:rFonts w:hint="eastAsia" w:ascii="仿宋" w:hAnsi="仿宋" w:eastAsia="仿宋" w:cs="仿宋"/>
                <w:szCs w:val="21"/>
                <w:lang w:val="en-US" w:eastAsia="zh-CN"/>
              </w:rPr>
              <w:t>高级职称</w:t>
            </w:r>
            <w:r>
              <w:rPr>
                <w:rFonts w:hint="eastAsia" w:ascii="仿宋" w:hAnsi="仿宋" w:eastAsia="仿宋" w:cs="仿宋"/>
                <w:szCs w:val="21"/>
              </w:rPr>
              <w:t>专家指导服务，得2分；</w:t>
            </w:r>
          </w:p>
          <w:p>
            <w:pPr>
              <w:widowControl/>
              <w:jc w:val="left"/>
              <w:rPr>
                <w:rFonts w:hint="eastAsia" w:ascii="仿宋" w:hAnsi="仿宋" w:eastAsia="仿宋" w:cs="仿宋"/>
                <w:szCs w:val="21"/>
              </w:rPr>
            </w:pPr>
            <w:r>
              <w:rPr>
                <w:rFonts w:hint="eastAsia" w:ascii="仿宋" w:hAnsi="仿宋" w:eastAsia="仿宋" w:cs="仿宋"/>
                <w:szCs w:val="21"/>
              </w:rPr>
              <w:t>3）协助采购人开展室间质评活动，得2分。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8</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技术服务拓展能力</w:t>
            </w:r>
          </w:p>
        </w:tc>
        <w:tc>
          <w:tcPr>
            <w:tcW w:w="7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lang w:eastAsia="zh-CN"/>
              </w:rPr>
            </w:pPr>
            <w:r>
              <w:rPr>
                <w:rFonts w:hint="eastAsia" w:ascii="仿宋" w:hAnsi="仿宋" w:eastAsia="仿宋" w:cs="仿宋"/>
                <w:szCs w:val="21"/>
                <w:lang w:val="en-US" w:eastAsia="zh-CN"/>
              </w:rPr>
              <w:t>7</w:t>
            </w:r>
          </w:p>
        </w:tc>
        <w:tc>
          <w:tcPr>
            <w:tcW w:w="5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Cs w:val="21"/>
              </w:rPr>
            </w:pPr>
            <w:r>
              <w:rPr>
                <w:rFonts w:hint="eastAsia" w:ascii="仿宋" w:hAnsi="仿宋" w:eastAsia="仿宋" w:cs="仿宋"/>
                <w:szCs w:val="21"/>
              </w:rPr>
              <w:t>供应商能提供</w:t>
            </w:r>
            <w:r>
              <w:rPr>
                <w:rFonts w:hint="eastAsia" w:ascii="仿宋" w:hAnsi="仿宋" w:eastAsia="仿宋" w:cs="仿宋"/>
                <w:szCs w:val="21"/>
                <w:lang w:val="en-US" w:eastAsia="zh-CN"/>
              </w:rPr>
              <w:t>地市级病理</w:t>
            </w:r>
            <w:r>
              <w:rPr>
                <w:rFonts w:hint="eastAsia" w:ascii="仿宋" w:hAnsi="仿宋" w:eastAsia="仿宋" w:cs="仿宋"/>
                <w:szCs w:val="21"/>
              </w:rPr>
              <w:t>专科联盟对接、区域远程会诊和区域线上教育平台搭建服务：</w:t>
            </w:r>
          </w:p>
          <w:p>
            <w:pPr>
              <w:widowControl/>
              <w:jc w:val="left"/>
              <w:rPr>
                <w:rFonts w:hint="eastAsia" w:ascii="仿宋" w:hAnsi="仿宋" w:eastAsia="仿宋" w:cs="仿宋"/>
                <w:szCs w:val="21"/>
              </w:rPr>
            </w:pPr>
            <w:r>
              <w:rPr>
                <w:rFonts w:hint="eastAsia" w:ascii="仿宋" w:hAnsi="仿宋" w:eastAsia="仿宋" w:cs="仿宋"/>
                <w:szCs w:val="21"/>
              </w:rPr>
              <w:t>1）优：服务方案的整体清晰、完善，且高度符合项目需求的，得</w:t>
            </w:r>
            <w:r>
              <w:rPr>
                <w:rFonts w:hint="eastAsia" w:ascii="仿宋" w:hAnsi="仿宋" w:eastAsia="仿宋" w:cs="仿宋"/>
                <w:szCs w:val="21"/>
                <w:lang w:val="en-US" w:eastAsia="zh-CN"/>
              </w:rPr>
              <w:t>7</w:t>
            </w:r>
            <w:r>
              <w:rPr>
                <w:rFonts w:hint="eastAsia" w:ascii="仿宋" w:hAnsi="仿宋" w:eastAsia="仿宋" w:cs="仿宋"/>
                <w:szCs w:val="21"/>
              </w:rPr>
              <w:t>分。</w:t>
            </w:r>
          </w:p>
          <w:p>
            <w:pPr>
              <w:widowControl/>
              <w:jc w:val="left"/>
              <w:rPr>
                <w:rFonts w:hint="eastAsia" w:ascii="仿宋" w:hAnsi="仿宋" w:eastAsia="仿宋" w:cs="仿宋"/>
                <w:szCs w:val="21"/>
              </w:rPr>
            </w:pPr>
            <w:r>
              <w:rPr>
                <w:rFonts w:hint="eastAsia" w:ascii="仿宋" w:hAnsi="仿宋" w:eastAsia="仿宋" w:cs="仿宋"/>
                <w:szCs w:val="21"/>
              </w:rPr>
              <w:t>2）良：服务方案的整体质量方案完善，可行性高，符合项目需求，得4分。</w:t>
            </w:r>
          </w:p>
          <w:p>
            <w:pPr>
              <w:widowControl/>
              <w:jc w:val="left"/>
              <w:rPr>
                <w:rFonts w:hint="eastAsia" w:ascii="仿宋" w:hAnsi="仿宋" w:eastAsia="仿宋" w:cs="仿宋"/>
                <w:szCs w:val="21"/>
              </w:rPr>
            </w:pPr>
            <w:r>
              <w:rPr>
                <w:rFonts w:hint="eastAsia" w:ascii="仿宋" w:hAnsi="仿宋" w:eastAsia="仿宋" w:cs="仿宋"/>
                <w:szCs w:val="21"/>
              </w:rPr>
              <w:t>3）中：服务方案的整体质量方案基本完整，具备一定可行性，基本符合项目需求，得2分。</w:t>
            </w:r>
          </w:p>
          <w:p>
            <w:pPr>
              <w:widowControl/>
              <w:jc w:val="left"/>
              <w:rPr>
                <w:rFonts w:hint="eastAsia" w:ascii="仿宋" w:hAnsi="仿宋" w:eastAsia="仿宋" w:cs="仿宋"/>
                <w:szCs w:val="21"/>
              </w:rPr>
            </w:pPr>
            <w:r>
              <w:rPr>
                <w:rFonts w:hint="eastAsia" w:ascii="仿宋" w:hAnsi="仿宋" w:eastAsia="仿宋" w:cs="仿宋"/>
                <w:szCs w:val="21"/>
              </w:rPr>
              <w:t>4）差：服务方案的整体质量方案差，不符合项目需求，得0分。</w:t>
            </w:r>
          </w:p>
          <w:p>
            <w:pPr>
              <w:widowControl/>
              <w:jc w:val="left"/>
              <w:rPr>
                <w:rFonts w:hint="eastAsia" w:ascii="仿宋" w:hAnsi="仿宋" w:eastAsia="仿宋" w:cs="仿宋"/>
                <w:szCs w:val="21"/>
              </w:rPr>
            </w:pPr>
            <w:r>
              <w:rPr>
                <w:rFonts w:hint="eastAsia" w:ascii="仿宋" w:hAnsi="仿宋" w:eastAsia="仿宋" w:cs="仿宋"/>
                <w:szCs w:val="21"/>
              </w:rPr>
              <w:t>（注：提供系统界面截图及至少一个成功实施案例证明材料）</w:t>
            </w:r>
          </w:p>
        </w:tc>
      </w:tr>
    </w:tbl>
    <w:p>
      <w:pPr>
        <w:pStyle w:val="6"/>
        <w:spacing w:line="240" w:lineRule="auto"/>
        <w:ind w:firstLineChars="200"/>
        <w:rPr>
          <w:rFonts w:hint="eastAsia" w:ascii="仿宋" w:hAnsi="仿宋" w:eastAsia="仿宋" w:cs="仿宋"/>
          <w:sz w:val="21"/>
          <w:szCs w:val="21"/>
        </w:rPr>
      </w:pPr>
    </w:p>
    <w:p>
      <w:pPr>
        <w:pStyle w:val="6"/>
        <w:spacing w:line="240" w:lineRule="auto"/>
        <w:ind w:firstLineChars="200"/>
        <w:rPr>
          <w:rFonts w:hint="eastAsia" w:ascii="仿宋" w:hAnsi="仿宋" w:eastAsia="仿宋" w:cs="仿宋"/>
          <w:sz w:val="21"/>
          <w:szCs w:val="21"/>
        </w:rPr>
      </w:pPr>
      <w:r>
        <w:rPr>
          <w:rFonts w:hint="eastAsia" w:ascii="仿宋" w:hAnsi="仿宋" w:eastAsia="仿宋" w:cs="仿宋"/>
          <w:sz w:val="21"/>
          <w:szCs w:val="21"/>
        </w:rPr>
        <w:t>2.商务评分（20分）：</w:t>
      </w:r>
    </w:p>
    <w:tbl>
      <w:tblPr>
        <w:tblStyle w:val="13"/>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083"/>
        <w:gridCol w:w="779"/>
        <w:gridCol w:w="5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Cs w:val="21"/>
              </w:rPr>
            </w:pPr>
            <w:r>
              <w:rPr>
                <w:rFonts w:hint="eastAsia" w:ascii="仿宋" w:hAnsi="仿宋" w:eastAsia="仿宋" w:cs="仿宋"/>
                <w:b/>
                <w:szCs w:val="21"/>
              </w:rPr>
              <w:t>序号</w:t>
            </w:r>
          </w:p>
        </w:tc>
        <w:tc>
          <w:tcPr>
            <w:tcW w:w="20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Cs w:val="21"/>
              </w:rPr>
            </w:pPr>
            <w:r>
              <w:rPr>
                <w:rFonts w:hint="eastAsia" w:ascii="仿宋" w:hAnsi="仿宋" w:eastAsia="仿宋" w:cs="仿宋"/>
                <w:b/>
                <w:szCs w:val="21"/>
              </w:rPr>
              <w:t>评审分项</w:t>
            </w:r>
          </w:p>
        </w:tc>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Cs w:val="21"/>
              </w:rPr>
            </w:pPr>
            <w:r>
              <w:rPr>
                <w:rFonts w:hint="eastAsia" w:ascii="仿宋" w:hAnsi="仿宋" w:eastAsia="仿宋" w:cs="仿宋"/>
                <w:b/>
                <w:szCs w:val="21"/>
              </w:rPr>
              <w:t>分值</w:t>
            </w:r>
          </w:p>
        </w:tc>
        <w:tc>
          <w:tcPr>
            <w:tcW w:w="52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Cs w:val="21"/>
              </w:rPr>
            </w:pPr>
            <w:r>
              <w:rPr>
                <w:rFonts w:hint="eastAsia" w:ascii="仿宋" w:hAnsi="仿宋" w:eastAsia="仿宋" w:cs="仿宋"/>
                <w:b/>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Cs w:val="21"/>
              </w:rPr>
            </w:pPr>
            <w:r>
              <w:rPr>
                <w:rFonts w:hint="eastAsia" w:ascii="仿宋" w:hAnsi="仿宋" w:eastAsia="仿宋" w:cs="仿宋"/>
                <w:szCs w:val="21"/>
              </w:rPr>
              <w:t>1</w:t>
            </w:r>
          </w:p>
        </w:tc>
        <w:tc>
          <w:tcPr>
            <w:tcW w:w="20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szCs w:val="21"/>
              </w:rPr>
            </w:pPr>
            <w:r>
              <w:rPr>
                <w:rFonts w:hint="eastAsia" w:ascii="仿宋" w:hAnsi="仿宋" w:eastAsia="仿宋" w:cs="仿宋"/>
                <w:szCs w:val="21"/>
              </w:rPr>
              <w:t>企业认证水平</w:t>
            </w:r>
          </w:p>
        </w:tc>
        <w:tc>
          <w:tcPr>
            <w:tcW w:w="7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Cs w:val="21"/>
              </w:rPr>
            </w:pPr>
            <w:r>
              <w:rPr>
                <w:rFonts w:hint="eastAsia" w:ascii="仿宋" w:hAnsi="仿宋" w:eastAsia="仿宋" w:cs="仿宋"/>
                <w:szCs w:val="21"/>
              </w:rPr>
              <w:t>6</w:t>
            </w:r>
          </w:p>
        </w:tc>
        <w:tc>
          <w:tcPr>
            <w:tcW w:w="520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zCs w:val="21"/>
              </w:rPr>
            </w:pPr>
            <w:r>
              <w:rPr>
                <w:rFonts w:hint="eastAsia" w:ascii="仿宋" w:hAnsi="仿宋" w:eastAsia="仿宋" w:cs="仿宋"/>
                <w:szCs w:val="21"/>
              </w:rPr>
              <w:t xml:space="preserve">1、供应商具有临床基因扩增检验实验室技术审核合格证书，得3分（注：提供相关证明材料复印件并加盖供应商公章，不提供不得分）。 </w:t>
            </w:r>
          </w:p>
          <w:p>
            <w:pPr>
              <w:pStyle w:val="2"/>
              <w:widowControl/>
              <w:spacing w:after="0"/>
              <w:ind w:left="0" w:leftChars="0" w:firstLine="0" w:firstLineChars="0"/>
              <w:rPr>
                <w:rFonts w:hint="eastAsia" w:ascii="仿宋" w:hAnsi="仿宋" w:eastAsia="仿宋" w:cs="仿宋"/>
                <w:szCs w:val="21"/>
              </w:rPr>
            </w:pPr>
            <w:r>
              <w:rPr>
                <w:rFonts w:hint="eastAsia" w:ascii="仿宋" w:hAnsi="仿宋" w:eastAsia="仿宋" w:cs="仿宋"/>
                <w:szCs w:val="21"/>
              </w:rPr>
              <w:t>2、供应商能提供分子病理项目室间质评合格证书，得3分（注：提供相关证明材料复印件并加盖供应商公章，不提供不得分）。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Cs w:val="21"/>
              </w:rPr>
            </w:pPr>
            <w:r>
              <w:rPr>
                <w:rFonts w:hint="eastAsia" w:ascii="仿宋" w:hAnsi="仿宋" w:eastAsia="仿宋" w:cs="仿宋"/>
                <w:szCs w:val="21"/>
              </w:rPr>
              <w:t>2</w:t>
            </w:r>
          </w:p>
        </w:tc>
        <w:tc>
          <w:tcPr>
            <w:tcW w:w="20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szCs w:val="21"/>
              </w:rPr>
            </w:pPr>
            <w:r>
              <w:rPr>
                <w:rFonts w:hint="eastAsia" w:ascii="仿宋" w:hAnsi="仿宋" w:eastAsia="仿宋" w:cs="仿宋"/>
                <w:szCs w:val="21"/>
              </w:rPr>
              <w:t>企业实力</w:t>
            </w:r>
          </w:p>
        </w:tc>
        <w:tc>
          <w:tcPr>
            <w:tcW w:w="7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Cs w:val="21"/>
                <w:lang w:eastAsia="zh-CN"/>
              </w:rPr>
            </w:pPr>
            <w:r>
              <w:rPr>
                <w:rFonts w:hint="eastAsia" w:ascii="仿宋" w:hAnsi="仿宋" w:eastAsia="仿宋" w:cs="仿宋"/>
                <w:szCs w:val="21"/>
                <w:lang w:val="en-US" w:eastAsia="zh-CN"/>
              </w:rPr>
              <w:t>8</w:t>
            </w:r>
          </w:p>
        </w:tc>
        <w:tc>
          <w:tcPr>
            <w:tcW w:w="52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Cs w:val="21"/>
              </w:rPr>
            </w:pPr>
            <w:r>
              <w:rPr>
                <w:rFonts w:hint="eastAsia" w:ascii="仿宋" w:hAnsi="仿宋" w:eastAsia="仿宋" w:cs="仿宋"/>
                <w:szCs w:val="21"/>
              </w:rPr>
              <w:t>供应商及其关联企业</w:t>
            </w:r>
            <w:r>
              <w:rPr>
                <w:rFonts w:ascii="仿宋" w:hAnsi="仿宋" w:eastAsia="仿宋" w:cs="仿宋"/>
                <w:szCs w:val="21"/>
              </w:rPr>
              <w:t>具有</w:t>
            </w:r>
            <w:r>
              <w:rPr>
                <w:rFonts w:hint="eastAsia" w:ascii="仿宋" w:hAnsi="仿宋" w:eastAsia="仿宋" w:cs="仿宋"/>
                <w:szCs w:val="21"/>
              </w:rPr>
              <w:t>病理病理科所需设备、试剂耗材等</w:t>
            </w:r>
            <w:r>
              <w:rPr>
                <w:rFonts w:hint="eastAsia" w:ascii="仿宋" w:hAnsi="仿宋" w:eastAsia="仿宋" w:cs="仿宋"/>
                <w:szCs w:val="21"/>
                <w:lang w:val="en-US" w:eastAsia="zh-CN"/>
              </w:rPr>
              <w:t>生产及</w:t>
            </w:r>
            <w:r>
              <w:rPr>
                <w:rFonts w:hint="eastAsia" w:ascii="仿宋" w:hAnsi="仿宋" w:eastAsia="仿宋" w:cs="仿宋"/>
                <w:szCs w:val="21"/>
              </w:rPr>
              <w:t>供应能力，</w:t>
            </w:r>
            <w:r>
              <w:rPr>
                <w:rFonts w:ascii="仿宋" w:hAnsi="仿宋" w:eastAsia="仿宋" w:cs="仿宋"/>
                <w:szCs w:val="21"/>
              </w:rPr>
              <w:t>能够为采购人提供满足</w:t>
            </w:r>
            <w:r>
              <w:rPr>
                <w:rFonts w:hint="eastAsia" w:ascii="仿宋" w:hAnsi="仿宋" w:eastAsia="仿宋" w:cs="仿宋"/>
                <w:szCs w:val="21"/>
              </w:rPr>
              <w:t>病理科建设</w:t>
            </w:r>
            <w:r>
              <w:rPr>
                <w:rFonts w:ascii="仿宋" w:hAnsi="仿宋" w:eastAsia="仿宋" w:cs="仿宋"/>
                <w:szCs w:val="21"/>
              </w:rPr>
              <w:t>所需的供应链资源（包括</w:t>
            </w:r>
            <w:r>
              <w:rPr>
                <w:rFonts w:hint="eastAsia" w:ascii="仿宋" w:hAnsi="仿宋" w:eastAsia="仿宋" w:cs="仿宋"/>
                <w:szCs w:val="21"/>
              </w:rPr>
              <w:t>设备、检</w:t>
            </w:r>
            <w:r>
              <w:rPr>
                <w:rFonts w:ascii="仿宋" w:hAnsi="仿宋" w:eastAsia="仿宋" w:cs="仿宋"/>
                <w:szCs w:val="21"/>
              </w:rPr>
              <w:t>测试剂、耗材</w:t>
            </w:r>
            <w:r>
              <w:rPr>
                <w:rFonts w:hint="eastAsia" w:ascii="仿宋" w:hAnsi="仿宋" w:eastAsia="仿宋" w:cs="仿宋"/>
                <w:szCs w:val="21"/>
              </w:rPr>
              <w:t>、软件</w:t>
            </w:r>
            <w:r>
              <w:rPr>
                <w:rFonts w:ascii="仿宋" w:hAnsi="仿宋" w:eastAsia="仿宋" w:cs="仿宋"/>
                <w:szCs w:val="21"/>
              </w:rPr>
              <w:t>等）</w:t>
            </w:r>
            <w:r>
              <w:rPr>
                <w:rFonts w:hint="eastAsia" w:ascii="仿宋" w:hAnsi="仿宋" w:eastAsia="仿宋" w:cs="仿宋"/>
                <w:szCs w:val="21"/>
              </w:rPr>
              <w:t>及完善的售后服务</w:t>
            </w:r>
            <w:r>
              <w:rPr>
                <w:rFonts w:ascii="仿宋" w:hAnsi="仿宋" w:eastAsia="仿宋" w:cs="仿宋"/>
                <w:szCs w:val="21"/>
              </w:rPr>
              <w:t>，</w:t>
            </w:r>
            <w:r>
              <w:rPr>
                <w:rFonts w:hint="eastAsia" w:ascii="仿宋" w:hAnsi="仿宋" w:eastAsia="仿宋" w:cs="仿宋"/>
                <w:szCs w:val="21"/>
              </w:rPr>
              <w:t>供应商及其关联企业具备病理设备、试剂耗材生产、销售供应体系的得</w:t>
            </w:r>
            <w:r>
              <w:rPr>
                <w:rFonts w:hint="eastAsia" w:ascii="仿宋" w:hAnsi="仿宋" w:eastAsia="仿宋" w:cs="仿宋"/>
                <w:szCs w:val="21"/>
                <w:lang w:val="en-US" w:eastAsia="zh-CN"/>
              </w:rPr>
              <w:t>8</w:t>
            </w:r>
            <w:r>
              <w:rPr>
                <w:rFonts w:hint="eastAsia" w:ascii="仿宋" w:hAnsi="仿宋" w:eastAsia="仿宋" w:cs="仿宋"/>
                <w:szCs w:val="21"/>
              </w:rPr>
              <w:t>分，仅具备部分的得</w:t>
            </w:r>
            <w:r>
              <w:rPr>
                <w:rFonts w:hint="eastAsia" w:ascii="仿宋" w:hAnsi="仿宋" w:eastAsia="仿宋" w:cs="仿宋"/>
                <w:szCs w:val="21"/>
                <w:lang w:val="en-US" w:eastAsia="zh-CN"/>
              </w:rPr>
              <w:t>3</w:t>
            </w:r>
            <w:r>
              <w:rPr>
                <w:rFonts w:hint="eastAsia" w:ascii="仿宋" w:hAnsi="仿宋" w:eastAsia="仿宋" w:cs="仿宋"/>
                <w:szCs w:val="21"/>
              </w:rPr>
              <w:t>分，完全不具备的得0分（注：</w:t>
            </w:r>
            <w:r>
              <w:rPr>
                <w:rFonts w:hint="eastAsia" w:ascii="仿宋" w:hAnsi="仿宋" w:eastAsia="仿宋" w:cs="仿宋"/>
                <w:szCs w:val="21"/>
                <w:lang w:val="en-US" w:eastAsia="zh-CN"/>
              </w:rPr>
              <w:t>需</w:t>
            </w:r>
            <w:r>
              <w:rPr>
                <w:rFonts w:hint="eastAsia" w:ascii="仿宋" w:hAnsi="仿宋" w:eastAsia="仿宋" w:cs="仿宋"/>
                <w:szCs w:val="21"/>
              </w:rPr>
              <w:t>提供</w:t>
            </w:r>
            <w:r>
              <w:rPr>
                <w:rFonts w:hint="eastAsia" w:ascii="仿宋" w:hAnsi="仿宋" w:eastAsia="仿宋"/>
              </w:rPr>
              <w:t>医疗器械生产许可证</w:t>
            </w:r>
            <w:r>
              <w:rPr>
                <w:rFonts w:hint="eastAsia" w:ascii="仿宋" w:hAnsi="仿宋" w:eastAsia="仿宋"/>
                <w:lang w:eastAsia="zh-CN"/>
              </w:rPr>
              <w:t>、</w:t>
            </w:r>
            <w:r>
              <w:rPr>
                <w:rFonts w:hint="eastAsia" w:ascii="仿宋" w:hAnsi="仿宋" w:eastAsia="仿宋"/>
              </w:rPr>
              <w:t>医疗器械生产备案凭证</w:t>
            </w:r>
            <w:r>
              <w:rPr>
                <w:rFonts w:hint="eastAsia" w:ascii="仿宋" w:hAnsi="仿宋" w:eastAsia="仿宋"/>
                <w:lang w:val="en-US" w:eastAsia="zh-CN"/>
              </w:rPr>
              <w:t>等凭证</w:t>
            </w:r>
            <w:r>
              <w:rPr>
                <w:rFonts w:hint="eastAsia" w:ascii="仿宋" w:hAnsi="仿宋" w:eastAsia="仿宋" w:cs="仿宋"/>
                <w:szCs w:val="21"/>
              </w:rPr>
              <w:t>复印件并加盖供应商公章，不提供的不得分）。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Cs w:val="21"/>
              </w:rPr>
            </w:pPr>
            <w:r>
              <w:rPr>
                <w:rFonts w:hint="eastAsia" w:ascii="仿宋" w:hAnsi="仿宋" w:eastAsia="仿宋" w:cs="仿宋"/>
                <w:szCs w:val="21"/>
              </w:rPr>
              <w:t>3</w:t>
            </w:r>
          </w:p>
        </w:tc>
        <w:tc>
          <w:tcPr>
            <w:tcW w:w="20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szCs w:val="21"/>
              </w:rPr>
            </w:pPr>
            <w:r>
              <w:rPr>
                <w:rFonts w:hint="eastAsia" w:ascii="仿宋" w:hAnsi="仿宋" w:eastAsia="仿宋" w:cs="仿宋"/>
                <w:szCs w:val="21"/>
              </w:rPr>
              <w:t>履约能力</w:t>
            </w:r>
          </w:p>
        </w:tc>
        <w:tc>
          <w:tcPr>
            <w:tcW w:w="7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Cs w:val="21"/>
                <w:lang w:eastAsia="zh-CN"/>
              </w:rPr>
            </w:pPr>
            <w:r>
              <w:rPr>
                <w:rFonts w:hint="eastAsia" w:ascii="仿宋" w:hAnsi="仿宋" w:eastAsia="仿宋" w:cs="仿宋"/>
                <w:szCs w:val="21"/>
                <w:lang w:val="en-US" w:eastAsia="zh-CN"/>
              </w:rPr>
              <w:t>6</w:t>
            </w:r>
          </w:p>
        </w:tc>
        <w:tc>
          <w:tcPr>
            <w:tcW w:w="520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zCs w:val="21"/>
              </w:rPr>
            </w:pPr>
            <w:r>
              <w:rPr>
                <w:rFonts w:hint="eastAsia" w:ascii="仿宋" w:hAnsi="仿宋" w:eastAsia="仿宋" w:cs="仿宋"/>
                <w:szCs w:val="21"/>
              </w:rPr>
              <w:t>供应商近三年内具有同类型病理科合作共建项目业绩，每提供一个得</w:t>
            </w:r>
            <w:r>
              <w:rPr>
                <w:rFonts w:hint="eastAsia" w:ascii="仿宋" w:hAnsi="仿宋" w:eastAsia="仿宋" w:cs="仿宋"/>
                <w:szCs w:val="21"/>
                <w:lang w:val="en-US" w:eastAsia="zh-CN"/>
              </w:rPr>
              <w:t>2</w:t>
            </w:r>
            <w:r>
              <w:rPr>
                <w:rFonts w:hint="eastAsia" w:ascii="仿宋" w:hAnsi="仿宋" w:eastAsia="仿宋" w:cs="仿宋"/>
                <w:szCs w:val="21"/>
              </w:rPr>
              <w:t>分，最高得</w:t>
            </w:r>
            <w:r>
              <w:rPr>
                <w:rFonts w:hint="eastAsia" w:ascii="仿宋" w:hAnsi="仿宋" w:eastAsia="仿宋" w:cs="仿宋"/>
                <w:szCs w:val="21"/>
                <w:lang w:val="en-US" w:eastAsia="zh-CN"/>
              </w:rPr>
              <w:t>6</w:t>
            </w:r>
            <w:r>
              <w:rPr>
                <w:rFonts w:hint="eastAsia" w:ascii="仿宋" w:hAnsi="仿宋" w:eastAsia="仿宋" w:cs="仿宋"/>
                <w:szCs w:val="21"/>
              </w:rPr>
              <w:t>分（注：提供合同关键页复印件或中标通知书）。</w:t>
            </w:r>
          </w:p>
        </w:tc>
      </w:tr>
    </w:tbl>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r>
        <w:rPr>
          <w:rFonts w:hint="eastAsia" w:ascii="仿宋" w:hAnsi="仿宋" w:eastAsia="仿宋" w:cs="仿宋"/>
          <w:szCs w:val="21"/>
        </w:rPr>
        <w:t>3.价格评价（10分）：</w:t>
      </w:r>
    </w:p>
    <w:tbl>
      <w:tblPr>
        <w:tblStyle w:val="13"/>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268"/>
        <w:gridCol w:w="850"/>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Cs w:val="21"/>
              </w:rPr>
            </w:pPr>
            <w:r>
              <w:rPr>
                <w:rFonts w:hint="eastAsia" w:ascii="仿宋" w:hAnsi="仿宋" w:eastAsia="仿宋" w:cs="仿宋"/>
                <w:b/>
                <w:szCs w:val="21"/>
              </w:rPr>
              <w:t>序号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Cs w:val="21"/>
              </w:rPr>
            </w:pPr>
            <w:r>
              <w:rPr>
                <w:rFonts w:hint="eastAsia" w:ascii="仿宋" w:hAnsi="仿宋" w:eastAsia="仿宋" w:cs="仿宋"/>
                <w:b/>
                <w:szCs w:val="21"/>
              </w:rPr>
              <w:t>评审分项</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Cs w:val="21"/>
              </w:rPr>
            </w:pPr>
            <w:r>
              <w:rPr>
                <w:rFonts w:hint="eastAsia" w:ascii="仿宋" w:hAnsi="仿宋" w:eastAsia="仿宋" w:cs="仿宋"/>
                <w:b/>
                <w:szCs w:val="21"/>
              </w:rPr>
              <w:t>分值</w:t>
            </w:r>
          </w:p>
        </w:tc>
        <w:tc>
          <w:tcPr>
            <w:tcW w:w="56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Cs w:val="21"/>
              </w:rPr>
            </w:pPr>
            <w:r>
              <w:rPr>
                <w:rFonts w:hint="eastAsia" w:ascii="仿宋" w:hAnsi="仿宋" w:eastAsia="仿宋" w:cs="仿宋"/>
                <w:b/>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50" w:type="dxa"/>
            <w:noWrap w:val="0"/>
            <w:vAlign w:val="center"/>
          </w:tcPr>
          <w:p>
            <w:pPr>
              <w:widowControl/>
              <w:tabs>
                <w:tab w:val="left" w:pos="141"/>
              </w:tabs>
              <w:autoSpaceDE w:val="0"/>
              <w:autoSpaceDN w:val="0"/>
              <w:adjustRightInd w:val="0"/>
              <w:jc w:val="center"/>
              <w:rPr>
                <w:rFonts w:hint="eastAsia" w:ascii="仿宋" w:hAnsi="仿宋" w:eastAsia="仿宋" w:cs="仿宋"/>
                <w:szCs w:val="21"/>
              </w:rPr>
            </w:pPr>
            <w:r>
              <w:rPr>
                <w:rFonts w:hint="eastAsia" w:ascii="仿宋" w:hAnsi="仿宋" w:eastAsia="仿宋" w:cs="仿宋"/>
                <w:szCs w:val="21"/>
              </w:rPr>
              <w:t>1</w:t>
            </w:r>
          </w:p>
        </w:tc>
        <w:tc>
          <w:tcPr>
            <w:tcW w:w="2268" w:type="dxa"/>
            <w:noWrap w:val="0"/>
            <w:vAlign w:val="center"/>
          </w:tcPr>
          <w:p>
            <w:pPr>
              <w:widowControl/>
              <w:autoSpaceDE w:val="0"/>
              <w:autoSpaceDN w:val="0"/>
              <w:adjustRightInd w:val="0"/>
              <w:jc w:val="center"/>
              <w:rPr>
                <w:rFonts w:hint="eastAsia" w:ascii="仿宋" w:hAnsi="仿宋" w:eastAsia="仿宋" w:cs="仿宋"/>
                <w:szCs w:val="21"/>
              </w:rPr>
            </w:pPr>
            <w:r>
              <w:rPr>
                <w:rFonts w:hint="eastAsia" w:ascii="仿宋" w:hAnsi="仿宋" w:eastAsia="仿宋" w:cs="仿宋"/>
                <w:szCs w:val="21"/>
              </w:rPr>
              <w:t>最后报价</w:t>
            </w:r>
          </w:p>
        </w:tc>
        <w:tc>
          <w:tcPr>
            <w:tcW w:w="850" w:type="dxa"/>
            <w:noWrap w:val="0"/>
            <w:vAlign w:val="center"/>
          </w:tcPr>
          <w:p>
            <w:pPr>
              <w:adjustRightInd w:val="0"/>
              <w:jc w:val="center"/>
              <w:rPr>
                <w:rFonts w:hint="eastAsia" w:ascii="仿宋" w:hAnsi="仿宋" w:eastAsia="仿宋" w:cs="仿宋"/>
                <w:szCs w:val="21"/>
              </w:rPr>
            </w:pPr>
            <w:r>
              <w:rPr>
                <w:rFonts w:hint="eastAsia" w:ascii="仿宋" w:hAnsi="仿宋" w:eastAsia="仿宋" w:cs="仿宋"/>
                <w:szCs w:val="21"/>
              </w:rPr>
              <w:t>10</w:t>
            </w:r>
          </w:p>
        </w:tc>
        <w:tc>
          <w:tcPr>
            <w:tcW w:w="5669" w:type="dxa"/>
            <w:noWrap w:val="0"/>
            <w:vAlign w:val="center"/>
          </w:tcPr>
          <w:p>
            <w:pPr>
              <w:widowControl/>
              <w:autoSpaceDE w:val="0"/>
              <w:autoSpaceDN w:val="0"/>
              <w:adjustRightInd w:val="0"/>
              <w:rPr>
                <w:rFonts w:hint="eastAsia" w:ascii="仿宋" w:hAnsi="仿宋" w:eastAsia="仿宋" w:cs="仿宋"/>
                <w:szCs w:val="21"/>
              </w:rPr>
            </w:pPr>
            <w:r>
              <w:rPr>
                <w:rFonts w:hint="eastAsia" w:ascii="仿宋" w:hAnsi="仿宋" w:eastAsia="仿宋" w:cs="仿宋"/>
                <w:szCs w:val="21"/>
              </w:rPr>
              <w:t>价格分统一采用低价优先法计算，即满足磋商文件要求且最后报价最低的供应商的价格为磋商基准价，其价格分为满分。其他供应商的价格分统一按照下列公式计算：</w:t>
            </w:r>
          </w:p>
          <w:p>
            <w:pPr>
              <w:widowControl/>
              <w:autoSpaceDE w:val="0"/>
              <w:autoSpaceDN w:val="0"/>
              <w:adjustRightInd w:val="0"/>
              <w:rPr>
                <w:rFonts w:hint="eastAsia" w:ascii="仿宋" w:hAnsi="仿宋" w:eastAsia="仿宋" w:cs="仿宋"/>
                <w:szCs w:val="21"/>
              </w:rPr>
            </w:pPr>
            <w:r>
              <w:rPr>
                <w:rFonts w:hint="eastAsia" w:ascii="仿宋" w:hAnsi="仿宋" w:eastAsia="仿宋" w:cs="仿宋"/>
                <w:szCs w:val="21"/>
              </w:rPr>
              <w:t>磋商报价得分=（磋商基准价/最后磋商报价）×10%×100</w:t>
            </w:r>
          </w:p>
        </w:tc>
      </w:tr>
    </w:tbl>
    <w:p>
      <w:pPr>
        <w:ind w:firstLine="420" w:firstLineChars="200"/>
        <w:rPr>
          <w:rFonts w:hint="eastAsia" w:ascii="仿宋" w:hAnsi="仿宋" w:eastAsia="仿宋" w:cs="仿宋"/>
          <w:szCs w:val="21"/>
        </w:rPr>
      </w:pPr>
    </w:p>
    <w:p>
      <w:pPr>
        <w:adjustRightInd w:val="0"/>
        <w:snapToGrid w:val="0"/>
        <w:spacing w:line="300" w:lineRule="auto"/>
        <w:rPr>
          <w:rFonts w:ascii="仿宋" w:hAnsi="仿宋" w:eastAsia="仿宋"/>
        </w:rPr>
      </w:pPr>
    </w:p>
    <w:p>
      <w:pPr>
        <w:pStyle w:val="2"/>
        <w:numPr>
          <w:ilvl w:val="0"/>
          <w:numId w:val="0"/>
        </w:numPr>
        <w:ind w:leftChars="0"/>
      </w:pPr>
    </w:p>
    <w:p>
      <w:pPr>
        <w:pStyle w:val="2"/>
        <w:numPr>
          <w:ilvl w:val="0"/>
          <w:numId w:val="0"/>
        </w:numPr>
        <w:ind w:leftChars="0"/>
      </w:pPr>
    </w:p>
    <w:p>
      <w:pPr>
        <w:pStyle w:val="2"/>
        <w:numPr>
          <w:ilvl w:val="0"/>
          <w:numId w:val="0"/>
        </w:numPr>
        <w:ind w:leftChars="0"/>
      </w:pPr>
    </w:p>
    <w:p>
      <w:pPr>
        <w:pStyle w:val="2"/>
        <w:numPr>
          <w:ilvl w:val="0"/>
          <w:numId w:val="0"/>
        </w:numPr>
        <w:ind w:lef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32DBD"/>
    <w:multiLevelType w:val="singleLevel"/>
    <w:tmpl w:val="FBF32DBD"/>
    <w:lvl w:ilvl="0" w:tentative="0">
      <w:start w:val="1"/>
      <w:numFmt w:val="decimal"/>
      <w:suff w:val="nothing"/>
      <w:lvlText w:val="%1）"/>
      <w:lvlJc w:val="left"/>
    </w:lvl>
  </w:abstractNum>
  <w:abstractNum w:abstractNumId="1">
    <w:nsid w:val="14151DFA"/>
    <w:multiLevelType w:val="multilevel"/>
    <w:tmpl w:val="14151DF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572282"/>
    <w:multiLevelType w:val="multilevel"/>
    <w:tmpl w:val="2D57228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C1A6575"/>
    <w:multiLevelType w:val="multilevel"/>
    <w:tmpl w:val="3C1A65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1C352D"/>
    <w:multiLevelType w:val="multilevel"/>
    <w:tmpl w:val="741C35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zI3ZGEwMjY0MGEyMmVjOTdlZWJkYzA4YThkZDAifQ=="/>
  </w:docVars>
  <w:rsids>
    <w:rsidRoot w:val="000B2080"/>
    <w:rsid w:val="000B2080"/>
    <w:rsid w:val="000C4992"/>
    <w:rsid w:val="0012706C"/>
    <w:rsid w:val="00184910"/>
    <w:rsid w:val="00200625"/>
    <w:rsid w:val="0021037F"/>
    <w:rsid w:val="0027289C"/>
    <w:rsid w:val="00286874"/>
    <w:rsid w:val="00290DB9"/>
    <w:rsid w:val="002A7E9E"/>
    <w:rsid w:val="002F60AD"/>
    <w:rsid w:val="00304BBC"/>
    <w:rsid w:val="0036102C"/>
    <w:rsid w:val="00366BE2"/>
    <w:rsid w:val="0037065E"/>
    <w:rsid w:val="00400620"/>
    <w:rsid w:val="00402111"/>
    <w:rsid w:val="004813B3"/>
    <w:rsid w:val="004908A2"/>
    <w:rsid w:val="004E6B20"/>
    <w:rsid w:val="00594DFA"/>
    <w:rsid w:val="005E1FD1"/>
    <w:rsid w:val="006311DC"/>
    <w:rsid w:val="0063361F"/>
    <w:rsid w:val="0065455F"/>
    <w:rsid w:val="00704ABE"/>
    <w:rsid w:val="007A3B19"/>
    <w:rsid w:val="007C3652"/>
    <w:rsid w:val="008248D3"/>
    <w:rsid w:val="0084326E"/>
    <w:rsid w:val="0085087D"/>
    <w:rsid w:val="009E6D55"/>
    <w:rsid w:val="00A172B5"/>
    <w:rsid w:val="00A25D29"/>
    <w:rsid w:val="00AB76D1"/>
    <w:rsid w:val="00AC546D"/>
    <w:rsid w:val="00AE2F38"/>
    <w:rsid w:val="00BB1C4C"/>
    <w:rsid w:val="00C17BC5"/>
    <w:rsid w:val="00C479E3"/>
    <w:rsid w:val="00CB1306"/>
    <w:rsid w:val="00CC0883"/>
    <w:rsid w:val="00CD05C4"/>
    <w:rsid w:val="00D33EFD"/>
    <w:rsid w:val="00E0706F"/>
    <w:rsid w:val="00E25E7B"/>
    <w:rsid w:val="00E536D3"/>
    <w:rsid w:val="00E73F02"/>
    <w:rsid w:val="00F84043"/>
    <w:rsid w:val="00FD13DB"/>
    <w:rsid w:val="02623C91"/>
    <w:rsid w:val="065F2230"/>
    <w:rsid w:val="21CE3395"/>
    <w:rsid w:val="23382D61"/>
    <w:rsid w:val="267A2F9B"/>
    <w:rsid w:val="3E4055E5"/>
    <w:rsid w:val="3F972772"/>
    <w:rsid w:val="47146A61"/>
    <w:rsid w:val="4FCA2588"/>
    <w:rsid w:val="5D2034AA"/>
    <w:rsid w:val="60DF596B"/>
    <w:rsid w:val="6436770E"/>
    <w:rsid w:val="6804459F"/>
    <w:rsid w:val="6F3F7239"/>
    <w:rsid w:val="6FA84567"/>
    <w:rsid w:val="7C6E1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0"/>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5">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firstLineChars="200"/>
    </w:pPr>
    <w:rPr>
      <w:sz w:val="21"/>
      <w:szCs w:val="24"/>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6">
    <w:name w:val="Normal Indent"/>
    <w:basedOn w:val="1"/>
    <w:semiHidden/>
    <w:unhideWhenUsed/>
    <w:qFormat/>
    <w:uiPriority w:val="99"/>
    <w:pPr>
      <w:ind w:firstLine="420" w:firstLineChars="200"/>
    </w:pPr>
  </w:style>
  <w:style w:type="paragraph" w:styleId="7">
    <w:name w:val="annotation text"/>
    <w:basedOn w:val="1"/>
    <w:link w:val="27"/>
    <w:semiHidden/>
    <w:unhideWhenUsed/>
    <w:qFormat/>
    <w:uiPriority w:val="99"/>
    <w:pPr>
      <w:jc w:val="left"/>
    </w:pPr>
  </w:style>
  <w:style w:type="paragraph" w:styleId="8">
    <w:name w:val="Body Text"/>
    <w:basedOn w:val="1"/>
    <w:link w:val="25"/>
    <w:qFormat/>
    <w:uiPriority w:val="1"/>
    <w:pPr>
      <w:autoSpaceDE w:val="0"/>
      <w:autoSpaceDN w:val="0"/>
      <w:jc w:val="left"/>
    </w:pPr>
    <w:rPr>
      <w:rFonts w:ascii="宋体" w:hAnsi="宋体" w:eastAsia="宋体" w:cs="宋体"/>
      <w:kern w:val="0"/>
      <w:sz w:val="19"/>
      <w:szCs w:val="19"/>
      <w:lang w:val="zh-CN" w:bidi="zh-CN"/>
    </w:rPr>
  </w:style>
  <w:style w:type="paragraph" w:styleId="9">
    <w:name w:val="Plain Text"/>
    <w:basedOn w:val="1"/>
    <w:link w:val="22"/>
    <w:qFormat/>
    <w:uiPriority w:val="0"/>
    <w:rPr>
      <w:rFonts w:ascii="宋体" w:hAnsi="Courier New" w:eastAsia="宋体" w:cs="Courier New"/>
      <w:szCs w:val="21"/>
    </w:rPr>
  </w:style>
  <w:style w:type="paragraph" w:styleId="10">
    <w:name w:val="Balloon Text"/>
    <w:basedOn w:val="1"/>
    <w:link w:val="29"/>
    <w:semiHidden/>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annotation subject"/>
    <w:basedOn w:val="7"/>
    <w:next w:val="7"/>
    <w:link w:val="28"/>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paragraph" w:styleId="17">
    <w:name w:val="List Paragraph"/>
    <w:basedOn w:val="1"/>
    <w:link w:val="23"/>
    <w:qFormat/>
    <w:uiPriority w:val="99"/>
    <w:pPr>
      <w:ind w:firstLine="420" w:firstLineChars="200"/>
    </w:pPr>
  </w:style>
  <w:style w:type="character" w:customStyle="1" w:styleId="18">
    <w:name w:val="样式 正文缩进 + 首行缩进:  2 字符 Char"/>
    <w:link w:val="19"/>
    <w:qFormat/>
    <w:uiPriority w:val="0"/>
    <w:rPr>
      <w:rFonts w:eastAsia="宋体"/>
      <w:sz w:val="24"/>
    </w:rPr>
  </w:style>
  <w:style w:type="paragraph" w:customStyle="1" w:styleId="19">
    <w:name w:val="样式 正文缩进 + 首行缩进:  2 字符"/>
    <w:basedOn w:val="6"/>
    <w:link w:val="18"/>
    <w:qFormat/>
    <w:uiPriority w:val="0"/>
    <w:pPr>
      <w:spacing w:line="360" w:lineRule="auto"/>
      <w:ind w:firstLine="200"/>
    </w:pPr>
    <w:rPr>
      <w:rFonts w:eastAsia="宋体"/>
      <w:sz w:val="24"/>
    </w:rPr>
  </w:style>
  <w:style w:type="character" w:customStyle="1" w:styleId="20">
    <w:name w:val="标题 1 Char"/>
    <w:basedOn w:val="15"/>
    <w:link w:val="4"/>
    <w:qFormat/>
    <w:uiPriority w:val="0"/>
    <w:rPr>
      <w:rFonts w:ascii="Calibri" w:hAnsi="Calibri" w:eastAsia="宋体" w:cs="Times New Roman"/>
      <w:b/>
      <w:bCs/>
      <w:kern w:val="44"/>
      <w:sz w:val="44"/>
      <w:szCs w:val="44"/>
    </w:rPr>
  </w:style>
  <w:style w:type="character" w:customStyle="1" w:styleId="21">
    <w:name w:val="标题 2 Char"/>
    <w:basedOn w:val="15"/>
    <w:link w:val="5"/>
    <w:qFormat/>
    <w:uiPriority w:val="9"/>
    <w:rPr>
      <w:rFonts w:asciiTheme="majorHAnsi" w:hAnsiTheme="majorHAnsi" w:eastAsiaTheme="majorEastAsia" w:cstheme="majorBidi"/>
      <w:b/>
      <w:bCs/>
      <w:sz w:val="32"/>
      <w:szCs w:val="32"/>
    </w:rPr>
  </w:style>
  <w:style w:type="character" w:customStyle="1" w:styleId="22">
    <w:name w:val="纯文本 Char"/>
    <w:basedOn w:val="15"/>
    <w:link w:val="9"/>
    <w:qFormat/>
    <w:uiPriority w:val="0"/>
    <w:rPr>
      <w:rFonts w:ascii="宋体" w:hAnsi="Courier New" w:eastAsia="宋体" w:cs="Courier New"/>
      <w:szCs w:val="21"/>
    </w:rPr>
  </w:style>
  <w:style w:type="character" w:customStyle="1" w:styleId="23">
    <w:name w:val="列出段落 Char"/>
    <w:link w:val="17"/>
    <w:qFormat/>
    <w:uiPriority w:val="99"/>
  </w:style>
  <w:style w:type="table" w:customStyle="1" w:styleId="24">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25">
    <w:name w:val="正文文本 Char"/>
    <w:basedOn w:val="15"/>
    <w:link w:val="8"/>
    <w:qFormat/>
    <w:uiPriority w:val="1"/>
    <w:rPr>
      <w:rFonts w:ascii="宋体" w:hAnsi="宋体" w:eastAsia="宋体" w:cs="宋体"/>
      <w:sz w:val="19"/>
      <w:szCs w:val="19"/>
      <w:lang w:val="zh-CN" w:bidi="zh-CN"/>
    </w:rPr>
  </w:style>
  <w:style w:type="paragraph" w:customStyle="1" w:styleId="26">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character" w:customStyle="1" w:styleId="27">
    <w:name w:val="批注文字 Char"/>
    <w:basedOn w:val="15"/>
    <w:link w:val="7"/>
    <w:semiHidden/>
    <w:qFormat/>
    <w:uiPriority w:val="99"/>
    <w:rPr>
      <w:rFonts w:asciiTheme="minorHAnsi" w:hAnsiTheme="minorHAnsi" w:eastAsiaTheme="minorEastAsia" w:cstheme="minorBidi"/>
      <w:kern w:val="2"/>
      <w:sz w:val="21"/>
      <w:szCs w:val="24"/>
    </w:rPr>
  </w:style>
  <w:style w:type="character" w:customStyle="1" w:styleId="28">
    <w:name w:val="批注主题 Char"/>
    <w:basedOn w:val="27"/>
    <w:link w:val="12"/>
    <w:semiHidden/>
    <w:qFormat/>
    <w:uiPriority w:val="99"/>
    <w:rPr>
      <w:rFonts w:asciiTheme="minorHAnsi" w:hAnsiTheme="minorHAnsi" w:eastAsiaTheme="minorEastAsia" w:cstheme="minorBidi"/>
      <w:b/>
      <w:bCs/>
      <w:kern w:val="2"/>
      <w:sz w:val="21"/>
      <w:szCs w:val="24"/>
    </w:rPr>
  </w:style>
  <w:style w:type="character" w:customStyle="1" w:styleId="29">
    <w:name w:val="批注框文本 Char"/>
    <w:basedOn w:val="15"/>
    <w:link w:val="10"/>
    <w:semiHidden/>
    <w:qFormat/>
    <w:uiPriority w:val="99"/>
    <w:rPr>
      <w:rFonts w:asciiTheme="minorHAnsi" w:hAnsiTheme="minorHAnsi" w:eastAsiaTheme="minorEastAsia" w:cstheme="minorBidi"/>
      <w:kern w:val="2"/>
      <w:sz w:val="18"/>
      <w:szCs w:val="18"/>
    </w:rPr>
  </w:style>
  <w:style w:type="paragraph" w:customStyle="1" w:styleId="30">
    <w:name w:val="Normal Indent"/>
    <w:basedOn w:val="1"/>
    <w:qFormat/>
    <w:uiPriority w:val="0"/>
    <w:pPr>
      <w:ind w:firstLine="420"/>
    </w:pPr>
    <w:rPr>
      <w:szCs w:val="20"/>
    </w:rPr>
  </w:style>
  <w:style w:type="character" w:customStyle="1" w:styleId="31">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6</Pages>
  <Words>4337</Words>
  <Characters>4422</Characters>
  <Lines>32</Lines>
  <Paragraphs>9</Paragraphs>
  <TotalTime>3</TotalTime>
  <ScaleCrop>false</ScaleCrop>
  <LinksUpToDate>false</LinksUpToDate>
  <CharactersWithSpaces>4427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2022-07-29T09:09:00Z</dcterms:created>
  <dc:creator>odf</dc:creator>
  <cp:lastModifiedBy> ...... </cp:lastModifiedBy>
  <dcterms:modified xsi:type="dcterms:W3CDTF">2023-04-27T02:16:42Z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D680B585328445C7A7FCB9CC60EF4367_12</vt:lpwstr>
  </property>
</Properties>
</file>