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66304619"/>
      <w:r>
        <w:rPr>
          <w:rFonts w:hint="eastAsia"/>
        </w:rPr>
        <w:t>项目名称</w:t>
      </w:r>
      <w:bookmarkEnd w:id="0"/>
    </w:p>
    <w:p>
      <w:pPr>
        <w:pStyle w:val="3"/>
      </w:pPr>
      <w:r>
        <w:rPr>
          <w:rFonts w:hint="eastAsia"/>
        </w:rPr>
        <w:t>中江县中医院</w:t>
      </w:r>
      <w:bookmarkStart w:id="1" w:name="_Hlk79246901"/>
      <w:r>
        <w:rPr>
          <w:rFonts w:hint="eastAsia"/>
        </w:rPr>
        <w:t>DIP付费管理系统</w:t>
      </w:r>
      <w:bookmarkEnd w:id="1"/>
    </w:p>
    <w:p>
      <w:pPr>
        <w:pStyle w:val="2"/>
      </w:pPr>
      <w:bookmarkStart w:id="2" w:name="_Toc66304621"/>
      <w:r>
        <w:rPr>
          <w:rFonts w:hint="eastAsia"/>
        </w:rPr>
        <w:t>建设</w:t>
      </w:r>
      <w:bookmarkEnd w:id="2"/>
      <w:r>
        <w:rPr>
          <w:rFonts w:hint="eastAsia"/>
        </w:rPr>
        <w:t>内容</w:t>
      </w:r>
    </w:p>
    <w:p>
      <w:pPr>
        <w:pStyle w:val="4"/>
      </w:pPr>
      <w:bookmarkStart w:id="3" w:name="_Toc66304622"/>
      <w:r>
        <w:rPr>
          <w:rFonts w:hint="eastAsia"/>
        </w:rPr>
        <w:t>基础数据标化</w:t>
      </w:r>
      <w:bookmarkStart w:id="4" w:name="_GoBack"/>
      <w:bookmarkEnd w:id="4"/>
    </w:p>
    <w:p>
      <w:pPr>
        <w:pStyle w:val="3"/>
        <w:rPr>
          <w:rStyle w:val="19"/>
          <w:b w:val="0"/>
          <w:bCs w:val="0"/>
        </w:rPr>
      </w:pPr>
      <w:r>
        <w:rPr>
          <w:rStyle w:val="19"/>
          <w:rFonts w:hint="eastAsia"/>
          <w:b w:val="0"/>
          <w:bCs w:val="0"/>
        </w:rPr>
        <w:t>对接医院HIS系统和病案系统等关联信息系统，实现院内医疗服务过程数据的采集、清洗和标化处理，提供ICD编码转码以及病案首页、医保结算清单、医保结算单及明细标化等功能，为DIP付费管理相关应用提供数据支撑。</w:t>
      </w:r>
    </w:p>
    <w:p>
      <w:pPr>
        <w:pStyle w:val="4"/>
      </w:pPr>
      <w:r>
        <w:rPr>
          <w:rFonts w:hint="eastAsia"/>
        </w:rPr>
        <w:t>病例双重质控</w:t>
      </w:r>
    </w:p>
    <w:p>
      <w:pPr>
        <w:pStyle w:val="3"/>
      </w:pPr>
      <w:r>
        <w:rPr>
          <w:rFonts w:hint="eastAsia"/>
        </w:rPr>
        <w:t>在国家医保局十五项医保业务编码标准、卫健委《住院病案首页数据质量与控制指标》、《HQMS数据对接接口校验规则》等要求的基础上，按照德阳市医保DIP分组等标准规范要求，提供对病案首页的完整性、逻辑性校验及综合评分；支持对医保结算清单的填报规范校验，实现对病例数据的双重质控。</w:t>
      </w:r>
    </w:p>
    <w:p>
      <w:pPr>
        <w:pStyle w:val="4"/>
      </w:pPr>
      <w:r>
        <w:rPr>
          <w:rFonts w:hint="eastAsia"/>
        </w:rPr>
        <w:t>疾病预测分组</w:t>
      </w:r>
    </w:p>
    <w:p>
      <w:pPr>
        <w:pStyle w:val="3"/>
      </w:pPr>
      <w:r>
        <w:rPr>
          <w:rFonts w:hint="eastAsia"/>
        </w:rPr>
        <w:t>在医生为患者下诊断或完善诊断/手术信息过程中，实时获取患者基本信息和诊断/手术等信息，按照德阳市医保DIP病种分组标准规范进行疾病预测分组，实时提醒医生分组结果及当前病种的资源消耗参照标杆，实现医疗服务全过程的费用精准管控。</w:t>
      </w:r>
    </w:p>
    <w:p>
      <w:pPr>
        <w:pStyle w:val="4"/>
      </w:pPr>
      <w:r>
        <w:rPr>
          <w:rFonts w:hint="eastAsia"/>
        </w:rPr>
        <w:t>D</w:t>
      </w:r>
      <w:r>
        <w:t>RG</w:t>
      </w:r>
      <w:r>
        <w:rPr>
          <w:rFonts w:hint="eastAsia"/>
        </w:rPr>
        <w:t>绩效管理</w:t>
      </w:r>
    </w:p>
    <w:p>
      <w:pPr>
        <w:pStyle w:val="3"/>
      </w:pPr>
      <w:r>
        <w:rPr>
          <w:rFonts w:hint="eastAsia"/>
        </w:rPr>
        <w:t>按照C</w:t>
      </w:r>
      <w:r>
        <w:t>HS-DRG</w:t>
      </w:r>
      <w:r>
        <w:rPr>
          <w:rFonts w:hint="eastAsia"/>
        </w:rPr>
        <w:t>分组标准规范，结合卫健绩效考核指标对医院全部病案进行综合分析，提供区域入组分析、病组分析、重点疾病、重点手术、各项费用结构分析、科室/医生指标分析、质量安全、学科均衡等，基于区域各D</w:t>
      </w:r>
      <w:r>
        <w:t>RG</w:t>
      </w:r>
      <w:r>
        <w:rPr>
          <w:rFonts w:hint="eastAsia"/>
        </w:rPr>
        <w:t>各项参照指标，全面分析医院各个科室、各医生在D</w:t>
      </w:r>
      <w:r>
        <w:t>RG</w:t>
      </w:r>
      <w:r>
        <w:rPr>
          <w:rFonts w:hint="eastAsia"/>
        </w:rPr>
        <w:t>分组下的病种</w:t>
      </w:r>
      <w:r>
        <w:t>/</w:t>
      </w:r>
      <w:r>
        <w:rPr>
          <w:rFonts w:hint="eastAsia"/>
        </w:rPr>
        <w:t>病组各维度指标，实现院内绩效考核指标数字化；</w:t>
      </w:r>
    </w:p>
    <w:p>
      <w:pPr>
        <w:pStyle w:val="4"/>
      </w:pPr>
      <w:r>
        <w:rPr>
          <w:rFonts w:hint="eastAsia"/>
        </w:rPr>
        <w:t>DIP医保控费</w:t>
      </w:r>
    </w:p>
    <w:p>
      <w:pPr>
        <w:pStyle w:val="3"/>
      </w:pPr>
      <w:r>
        <w:rPr>
          <w:rFonts w:hint="eastAsia"/>
        </w:rPr>
        <w:t>按照市医保DIP付费政策要求，提供入组分析、病组分析、疾病控费（重点疾病、手术）、科室/医生指标分析、高倍率/低倍率/异常病例分析等功能模块，更好地适应医保支付方式改革背景下院内医保费用管理需求，进一步提升医保费用管理的及时性和精准度。</w:t>
      </w:r>
    </w:p>
    <w:p>
      <w:pPr>
        <w:pStyle w:val="4"/>
      </w:pPr>
      <w:r>
        <w:rPr>
          <w:rFonts w:hint="eastAsia"/>
        </w:rPr>
        <w:t>运行决策分析</w:t>
      </w:r>
    </w:p>
    <w:p>
      <w:pPr>
        <w:pStyle w:val="3"/>
      </w:pPr>
      <w:r>
        <w:rPr>
          <w:rFonts w:hint="eastAsia"/>
        </w:rPr>
        <w:t>根据医院运营管理需求，提供领导驾驶舱、运行监测、逆差预警等功能模块，全方位反映新医保支付体系下医院运行情况，为医院的精细化管理和科学化决策提供数据支撑。</w:t>
      </w:r>
    </w:p>
    <w:bookmarkEnd w:id="3"/>
    <w:p>
      <w:pPr>
        <w:pStyle w:val="2"/>
      </w:pPr>
      <w:r>
        <w:rPr>
          <w:rFonts w:hint="eastAsia"/>
        </w:rPr>
        <w:t>技术参数</w:t>
      </w:r>
    </w:p>
    <w:tbl>
      <w:tblPr>
        <w:tblStyle w:val="1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67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134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功能模块</w:t>
            </w:r>
          </w:p>
        </w:tc>
        <w:tc>
          <w:tcPr>
            <w:tcW w:w="6713" w:type="dxa"/>
            <w:vAlign w:val="bottom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技术要求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基础数据标化</w:t>
            </w:r>
          </w:p>
        </w:tc>
        <w:tc>
          <w:tcPr>
            <w:tcW w:w="6713" w:type="dxa"/>
            <w:vAlign w:val="center"/>
          </w:tcPr>
          <w:p>
            <w:pPr>
              <w:pStyle w:val="30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系统对接：按照统一的技术标准规范，实现与院内信息系统的对接，采集DIP付费管理业务所需数据；</w:t>
            </w:r>
          </w:p>
          <w:p>
            <w:pPr>
              <w:pStyle w:val="30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ICD编码转码：按照医保业务编码规范，支持将院内现用ICD编码自动转换医保版编码；</w:t>
            </w:r>
          </w:p>
          <w:p>
            <w:pPr>
              <w:pStyle w:val="30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医疗数据标化：遵循相关标准规范，实现对病案首页、医保结算清单、医保结算单及费用明细的标准化处理。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病例双重质控</w:t>
            </w:r>
          </w:p>
        </w:tc>
        <w:tc>
          <w:tcPr>
            <w:tcW w:w="6713" w:type="dxa"/>
            <w:vAlign w:val="center"/>
          </w:tcPr>
          <w:p>
            <w:pPr>
              <w:pStyle w:val="30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双质控管理：支持病案首页与医保结算清单双标准质控管理，支持多维病例筛查、图表融合展示、病案及结算清单详情下钻、质控提示，以及该病案质控校验结果和预测分组结果；</w:t>
            </w:r>
          </w:p>
          <w:p>
            <w:pPr>
              <w:pStyle w:val="30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病例完整性校对：支持自定义条件查询病例完整性校对结果及错误分布情况并导出为Excel文件，支持下钻查看指定病例完整质控信息；</w:t>
            </w:r>
          </w:p>
          <w:p>
            <w:pPr>
              <w:pStyle w:val="30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病例逻辑性校对：支持自定义条件查询病例逻辑性校对结果及错误分布情况并导出为Excel文件，支持下钻查看指定病例完整质控信息；</w:t>
            </w:r>
          </w:p>
          <w:p>
            <w:pPr>
              <w:pStyle w:val="30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病例综合评分：支持自定义条件查询病例综合评分结果、评分结果最差TOP</w:t>
            </w:r>
            <w:r>
              <w:rPr>
                <w:rFonts w:ascii="宋体" w:hAnsi="宋体" w:eastAsia="宋体" w:cs="宋体"/>
                <w:sz w:val="22"/>
              </w:rPr>
              <w:t>10</w:t>
            </w:r>
            <w:r>
              <w:rPr>
                <w:rFonts w:hint="eastAsia" w:ascii="宋体" w:hAnsi="宋体" w:eastAsia="宋体" w:cs="宋体"/>
                <w:sz w:val="22"/>
              </w:rPr>
              <w:t>、病例扣分情况、扣分原因等信息，支持将评分结果导出为Excel文件。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疾病预测分组</w:t>
            </w:r>
          </w:p>
        </w:tc>
        <w:tc>
          <w:tcPr>
            <w:tcW w:w="6713" w:type="dxa"/>
            <w:vAlign w:val="center"/>
          </w:tcPr>
          <w:p>
            <w:pPr>
              <w:pStyle w:val="30"/>
              <w:numPr>
                <w:ilvl w:val="0"/>
                <w:numId w:val="4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病例分组预测：提供H</w:t>
            </w:r>
            <w:r>
              <w:rPr>
                <w:rFonts w:ascii="宋体" w:hAnsi="宋体" w:eastAsia="宋体" w:cs="宋体"/>
                <w:sz w:val="22"/>
              </w:rPr>
              <w:t>IS</w:t>
            </w:r>
            <w:r>
              <w:rPr>
                <w:rFonts w:hint="eastAsia" w:ascii="宋体" w:hAnsi="宋体" w:eastAsia="宋体" w:cs="宋体"/>
                <w:sz w:val="22"/>
              </w:rPr>
              <w:t>医生工作站预测预分组接口，同时支持D</w:t>
            </w:r>
            <w:r>
              <w:rPr>
                <w:rFonts w:ascii="宋体" w:hAnsi="宋体" w:eastAsia="宋体" w:cs="宋体"/>
                <w:sz w:val="22"/>
              </w:rPr>
              <w:t>RG</w:t>
            </w:r>
            <w:r>
              <w:rPr>
                <w:rFonts w:hint="eastAsia" w:ascii="宋体" w:hAnsi="宋体" w:eastAsia="宋体" w:cs="宋体"/>
                <w:sz w:val="22"/>
              </w:rPr>
              <w:t>和D</w:t>
            </w:r>
            <w:r>
              <w:rPr>
                <w:rFonts w:ascii="宋体" w:hAnsi="宋体" w:eastAsia="宋体" w:cs="宋体"/>
                <w:sz w:val="22"/>
              </w:rPr>
              <w:t>IP</w:t>
            </w:r>
            <w:r>
              <w:rPr>
                <w:rFonts w:hint="eastAsia" w:ascii="宋体" w:hAnsi="宋体" w:eastAsia="宋体" w:cs="宋体"/>
                <w:sz w:val="22"/>
              </w:rPr>
              <w:t>实时获取医师填写的病例信息，调用D</w:t>
            </w:r>
            <w:r>
              <w:rPr>
                <w:rFonts w:ascii="宋体" w:hAnsi="宋体" w:eastAsia="宋体" w:cs="宋体"/>
                <w:sz w:val="22"/>
              </w:rPr>
              <w:t>RG</w:t>
            </w:r>
            <w:r>
              <w:rPr>
                <w:rFonts w:hint="eastAsia" w:ascii="宋体" w:hAnsi="宋体" w:eastAsia="宋体" w:cs="宋体"/>
                <w:sz w:val="22"/>
              </w:rPr>
              <w:t>/D</w:t>
            </w:r>
            <w:r>
              <w:rPr>
                <w:rFonts w:ascii="宋体" w:hAnsi="宋体" w:eastAsia="宋体" w:cs="宋体"/>
                <w:sz w:val="22"/>
              </w:rPr>
              <w:t>IP</w:t>
            </w:r>
            <w:r>
              <w:rPr>
                <w:rFonts w:hint="eastAsia" w:ascii="宋体" w:hAnsi="宋体" w:eastAsia="宋体" w:cs="宋体"/>
                <w:sz w:val="22"/>
              </w:rPr>
              <w:t>分组器进行当前病例信息分组预测；</w:t>
            </w:r>
          </w:p>
          <w:p>
            <w:pPr>
              <w:pStyle w:val="30"/>
              <w:numPr>
                <w:ilvl w:val="0"/>
                <w:numId w:val="4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病种标杆提示：基于分组预测结果，为医师提示该地区同等级医疗机构病组费用标杆作为医生控费参考。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DRG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绩效管理</w:t>
            </w:r>
          </w:p>
        </w:tc>
        <w:tc>
          <w:tcPr>
            <w:tcW w:w="6713" w:type="dxa"/>
            <w:vAlign w:val="center"/>
          </w:tcPr>
          <w:p>
            <w:pPr>
              <w:pStyle w:val="30"/>
              <w:numPr>
                <w:ilvl w:val="0"/>
                <w:numId w:val="5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DRG</w:t>
            </w:r>
            <w:r>
              <w:rPr>
                <w:rFonts w:hint="eastAsia" w:ascii="宋体" w:hAnsi="宋体" w:eastAsia="宋体" w:cs="宋体"/>
                <w:sz w:val="22"/>
              </w:rPr>
              <w:t>入组管理：对医院整体以及科室的病案入组情况按照D</w:t>
            </w:r>
            <w:r>
              <w:rPr>
                <w:rFonts w:ascii="宋体" w:hAnsi="宋体" w:eastAsia="宋体" w:cs="宋体"/>
                <w:sz w:val="22"/>
              </w:rPr>
              <w:t>RG</w:t>
            </w:r>
            <w:r>
              <w:rPr>
                <w:rFonts w:hint="eastAsia" w:ascii="宋体" w:hAnsi="宋体" w:eastAsia="宋体" w:cs="宋体"/>
                <w:sz w:val="22"/>
              </w:rPr>
              <w:t>进行管理，展示医院上传总病案数、入组率、覆盖DRG组数、异常病案数、入组/未入组病案数等相关指标，并对同比、环比情况提供分析，提供数据下钻功能，支持查看具体病案。</w:t>
            </w:r>
          </w:p>
          <w:p>
            <w:pPr>
              <w:pStyle w:val="30"/>
              <w:numPr>
                <w:ilvl w:val="0"/>
                <w:numId w:val="5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D</w:t>
            </w:r>
            <w:r>
              <w:rPr>
                <w:rFonts w:ascii="宋体" w:hAnsi="宋体" w:eastAsia="宋体" w:cs="宋体"/>
                <w:sz w:val="22"/>
              </w:rPr>
              <w:t>RG</w:t>
            </w:r>
            <w:r>
              <w:rPr>
                <w:rFonts w:hint="eastAsia" w:ascii="宋体" w:hAnsi="宋体" w:eastAsia="宋体" w:cs="宋体"/>
                <w:sz w:val="22"/>
              </w:rPr>
              <w:t>病种管理：展示全院A</w:t>
            </w:r>
            <w:r>
              <w:rPr>
                <w:rFonts w:ascii="宋体" w:hAnsi="宋体" w:eastAsia="宋体" w:cs="宋体"/>
                <w:sz w:val="22"/>
              </w:rPr>
              <w:t>DRG</w:t>
            </w:r>
            <w:r>
              <w:rPr>
                <w:rFonts w:hint="eastAsia" w:ascii="宋体" w:hAnsi="宋体" w:eastAsia="宋体" w:cs="宋体"/>
                <w:sz w:val="22"/>
              </w:rPr>
              <w:t>与D</w:t>
            </w:r>
            <w:r>
              <w:rPr>
                <w:rFonts w:ascii="宋体" w:hAnsi="宋体" w:eastAsia="宋体" w:cs="宋体"/>
                <w:sz w:val="22"/>
              </w:rPr>
              <w:t>RG</w:t>
            </w:r>
            <w:r>
              <w:rPr>
                <w:rFonts w:hint="eastAsia" w:ascii="宋体" w:hAnsi="宋体" w:eastAsia="宋体" w:cs="宋体"/>
                <w:sz w:val="22"/>
              </w:rPr>
              <w:t>的分布情况以及C</w:t>
            </w:r>
            <w:r>
              <w:rPr>
                <w:rFonts w:ascii="宋体" w:hAnsi="宋体" w:eastAsia="宋体" w:cs="宋体"/>
                <w:sz w:val="22"/>
              </w:rPr>
              <w:t>MI</w:t>
            </w:r>
            <w:r>
              <w:rPr>
                <w:rFonts w:hint="eastAsia" w:ascii="宋体" w:hAnsi="宋体" w:eastAsia="宋体" w:cs="宋体"/>
                <w:sz w:val="22"/>
              </w:rPr>
              <w:t>趋势变化，可对医院/科室覆盖D</w:t>
            </w:r>
            <w:r>
              <w:rPr>
                <w:rFonts w:ascii="宋体" w:hAnsi="宋体" w:eastAsia="宋体" w:cs="宋体"/>
                <w:sz w:val="22"/>
              </w:rPr>
              <w:t>RG</w:t>
            </w:r>
            <w:r>
              <w:rPr>
                <w:rFonts w:hint="eastAsia" w:ascii="宋体" w:hAnsi="宋体" w:eastAsia="宋体" w:cs="宋体"/>
                <w:sz w:val="22"/>
              </w:rPr>
              <w:t>组的核心指标进行分析，包括但不限于：权重、病案数、总权重、平均费用、平均耗时、死亡率等。</w:t>
            </w:r>
          </w:p>
          <w:p>
            <w:pPr>
              <w:pStyle w:val="30"/>
              <w:numPr>
                <w:ilvl w:val="0"/>
                <w:numId w:val="5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D</w:t>
            </w:r>
            <w:r>
              <w:rPr>
                <w:rFonts w:ascii="宋体" w:hAnsi="宋体" w:cs="宋体"/>
                <w:sz w:val="22"/>
              </w:rPr>
              <w:t>RG</w:t>
            </w:r>
            <w:r>
              <w:rPr>
                <w:rFonts w:hint="eastAsia" w:ascii="宋体" w:hAnsi="宋体" w:cs="宋体"/>
                <w:sz w:val="22"/>
              </w:rPr>
              <w:t>费用管理：从全院与科室维度对医院医疗费用的相关指标进行分析，包括全院医疗总费用、自付金额、例均费用；科室自付金额对比；参照卫健物价收费对各科室各项费用指标与费用占比。</w:t>
            </w:r>
          </w:p>
          <w:p>
            <w:pPr>
              <w:pStyle w:val="30"/>
              <w:numPr>
                <w:ilvl w:val="0"/>
                <w:numId w:val="5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重点疾病管理：医院收治重点疾病人群结构分析，支持时间范围内全院各专业重大疾病分布情况，构成情况及其关键指标进行分析；</w:t>
            </w:r>
          </w:p>
          <w:p>
            <w:pPr>
              <w:pStyle w:val="30"/>
              <w:numPr>
                <w:ilvl w:val="0"/>
                <w:numId w:val="5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重点手术管理：医院收治病人重点手术分析，支持时间范围内全院各专业重大手术分布情况，构成情况及其关键指标进行分析；</w:t>
            </w:r>
          </w:p>
          <w:p>
            <w:pPr>
              <w:pStyle w:val="30"/>
              <w:numPr>
                <w:ilvl w:val="0"/>
                <w:numId w:val="5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安全质量管理：支持对自定义条件下医院医疗安全质量的构成情况，各科室排名情况及相关病种的重要指标进行分析；</w:t>
            </w:r>
          </w:p>
          <w:p>
            <w:pPr>
              <w:pStyle w:val="30"/>
              <w:numPr>
                <w:ilvl w:val="0"/>
                <w:numId w:val="5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指标分析：支持分别科室、医生的角度对产能、安全、效率等关键指标进行对比分析；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DIP医保控费</w:t>
            </w:r>
          </w:p>
        </w:tc>
        <w:tc>
          <w:tcPr>
            <w:tcW w:w="6713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D</w:t>
            </w:r>
            <w:r>
              <w:rPr>
                <w:rFonts w:ascii="宋体" w:hAnsi="宋体" w:eastAsia="宋体" w:cs="宋体"/>
                <w:sz w:val="22"/>
              </w:rPr>
              <w:t>IP</w:t>
            </w:r>
            <w:r>
              <w:rPr>
                <w:rFonts w:hint="eastAsia" w:ascii="宋体" w:hAnsi="宋体" w:eastAsia="宋体" w:cs="宋体"/>
                <w:sz w:val="22"/>
              </w:rPr>
              <w:t>入组管理：</w:t>
            </w:r>
            <w:r>
              <w:rPr>
                <w:rFonts w:ascii="宋体" w:hAnsi="宋体" w:eastAsia="宋体" w:cs="宋体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>展示全院病例入组情况，支持对未入组病例及原因进行分析，支持全院入组、未入组病例关键指标的同环比分析；</w:t>
            </w:r>
          </w:p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DIP</w:t>
            </w:r>
            <w:r>
              <w:rPr>
                <w:rFonts w:hint="eastAsia" w:ascii="宋体" w:hAnsi="宋体" w:eastAsia="宋体" w:cs="宋体"/>
                <w:sz w:val="22"/>
              </w:rPr>
              <w:t>病组管理：提供对全院各科室病组覆盖、病组构成、CMI及所有病种的重要指标的对比分析等，支持导出以上信息为Excel文件；</w:t>
            </w:r>
          </w:p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D</w:t>
            </w:r>
            <w:r>
              <w:rPr>
                <w:rFonts w:ascii="宋体" w:hAnsi="宋体" w:eastAsia="宋体" w:cs="宋体"/>
                <w:sz w:val="22"/>
              </w:rPr>
              <w:t>IP</w:t>
            </w:r>
            <w:r>
              <w:rPr>
                <w:rFonts w:hint="eastAsia" w:ascii="宋体" w:hAnsi="宋体" w:eastAsia="宋体" w:cs="宋体"/>
                <w:sz w:val="22"/>
              </w:rPr>
              <w:t>费用控费：按照市医保D</w:t>
            </w:r>
            <w:r>
              <w:rPr>
                <w:rFonts w:ascii="宋体" w:hAnsi="宋体" w:eastAsia="宋体" w:cs="宋体"/>
                <w:sz w:val="22"/>
              </w:rPr>
              <w:t>IP</w:t>
            </w:r>
            <w:r>
              <w:rPr>
                <w:rFonts w:hint="eastAsia" w:ascii="宋体" w:hAnsi="宋体" w:eastAsia="宋体" w:cs="宋体"/>
                <w:sz w:val="22"/>
              </w:rPr>
              <w:t>分组政策支付标准，分别从全院、科室、医师、病种等角度对费用情况展开分析，分析维度包括总费用、例均费用、自费比例、费用消耗、区域D</w:t>
            </w:r>
            <w:r>
              <w:rPr>
                <w:rFonts w:ascii="宋体" w:hAnsi="宋体" w:eastAsia="宋体" w:cs="宋体"/>
                <w:sz w:val="22"/>
              </w:rPr>
              <w:t>IP</w:t>
            </w:r>
            <w:r>
              <w:rPr>
                <w:rFonts w:hint="eastAsia" w:ascii="宋体" w:hAnsi="宋体" w:eastAsia="宋体" w:cs="宋体"/>
                <w:sz w:val="22"/>
              </w:rPr>
              <w:t>标杆、逆差测算、控费区间等；支持重点疾病、重点手术费用管控。</w:t>
            </w:r>
          </w:p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非正常病例分析：提供从年度、月度及单个病例等角度，对全院各科室高倍率、低倍率、异常病例的构成情况、变化趋势以及病例指标进行对比分析。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运行决策分析</w:t>
            </w:r>
          </w:p>
        </w:tc>
        <w:tc>
          <w:tcPr>
            <w:tcW w:w="6713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领导驾驶舱：实时监测统计全院接诊概况、医保付费逆差预测情况以及病例质控总体情况；</w:t>
            </w:r>
          </w:p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运行监测：实时监测全院各科室安全、效率、产能等指标运行情况，并对异常指标进行预警；</w:t>
            </w:r>
          </w:p>
          <w:p>
            <w:pPr>
              <w:pStyle w:val="30"/>
              <w:numPr>
                <w:ilvl w:val="0"/>
                <w:numId w:val="7"/>
              </w:numPr>
              <w:ind w:firstLineChars="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逆差预警：实时监测全院各科室接诊病例医保支付逆差情况，并以不同颜色对各科室逆差严重程度进行梯次预警。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系统配置</w:t>
            </w:r>
          </w:p>
        </w:tc>
        <w:tc>
          <w:tcPr>
            <w:tcW w:w="6713" w:type="dxa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提供对标准手术、高低倍率参数以及系统功能权限、支持科室数据权限配置等参数的自定义配置。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B51D9"/>
    <w:multiLevelType w:val="multilevel"/>
    <w:tmpl w:val="0BAB51D9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FF206A"/>
    <w:multiLevelType w:val="multilevel"/>
    <w:tmpl w:val="1CFF206A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B11C80"/>
    <w:multiLevelType w:val="multilevel"/>
    <w:tmpl w:val="1EB11C80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534354"/>
    <w:multiLevelType w:val="multilevel"/>
    <w:tmpl w:val="33534354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6C3C0145"/>
    <w:multiLevelType w:val="multilevel"/>
    <w:tmpl w:val="6C3C0145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8813BA"/>
    <w:multiLevelType w:val="multilevel"/>
    <w:tmpl w:val="6E8813BA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183E49"/>
    <w:multiLevelType w:val="multilevel"/>
    <w:tmpl w:val="7E183E49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0665D"/>
    <w:rsid w:val="00015B81"/>
    <w:rsid w:val="000653AA"/>
    <w:rsid w:val="000F6C87"/>
    <w:rsid w:val="00124D33"/>
    <w:rsid w:val="001566F3"/>
    <w:rsid w:val="001C5183"/>
    <w:rsid w:val="001E4559"/>
    <w:rsid w:val="001F3D56"/>
    <w:rsid w:val="002957C1"/>
    <w:rsid w:val="002A6476"/>
    <w:rsid w:val="002B1DA7"/>
    <w:rsid w:val="002D5D3B"/>
    <w:rsid w:val="003142A0"/>
    <w:rsid w:val="003414D5"/>
    <w:rsid w:val="00343D65"/>
    <w:rsid w:val="00351A3B"/>
    <w:rsid w:val="003632CA"/>
    <w:rsid w:val="00373010"/>
    <w:rsid w:val="003A61F9"/>
    <w:rsid w:val="00400554"/>
    <w:rsid w:val="004A71E7"/>
    <w:rsid w:val="004B7296"/>
    <w:rsid w:val="00565837"/>
    <w:rsid w:val="00584DDD"/>
    <w:rsid w:val="005A2792"/>
    <w:rsid w:val="005D5AF7"/>
    <w:rsid w:val="00645300"/>
    <w:rsid w:val="006868F7"/>
    <w:rsid w:val="006E080C"/>
    <w:rsid w:val="006E537D"/>
    <w:rsid w:val="006E55D9"/>
    <w:rsid w:val="006F07AA"/>
    <w:rsid w:val="00704CD8"/>
    <w:rsid w:val="00721B85"/>
    <w:rsid w:val="00723999"/>
    <w:rsid w:val="0072474C"/>
    <w:rsid w:val="00761FC6"/>
    <w:rsid w:val="007A2104"/>
    <w:rsid w:val="007C489B"/>
    <w:rsid w:val="00812F53"/>
    <w:rsid w:val="00845C14"/>
    <w:rsid w:val="00861FB0"/>
    <w:rsid w:val="00893BFD"/>
    <w:rsid w:val="009563B9"/>
    <w:rsid w:val="00974F8C"/>
    <w:rsid w:val="009825C1"/>
    <w:rsid w:val="009A7BB8"/>
    <w:rsid w:val="009B337B"/>
    <w:rsid w:val="009B5753"/>
    <w:rsid w:val="009C55AF"/>
    <w:rsid w:val="00A32316"/>
    <w:rsid w:val="00A45494"/>
    <w:rsid w:val="00A8191C"/>
    <w:rsid w:val="00AF33C8"/>
    <w:rsid w:val="00B1592A"/>
    <w:rsid w:val="00B47A3E"/>
    <w:rsid w:val="00BD385D"/>
    <w:rsid w:val="00BD7184"/>
    <w:rsid w:val="00C0024C"/>
    <w:rsid w:val="00C04DC5"/>
    <w:rsid w:val="00CA60AE"/>
    <w:rsid w:val="00CD2FCD"/>
    <w:rsid w:val="00CE1EC1"/>
    <w:rsid w:val="00CF4BD7"/>
    <w:rsid w:val="00D10220"/>
    <w:rsid w:val="00D22EAD"/>
    <w:rsid w:val="00D33934"/>
    <w:rsid w:val="00D352C2"/>
    <w:rsid w:val="00D81E99"/>
    <w:rsid w:val="00E11129"/>
    <w:rsid w:val="00E2700F"/>
    <w:rsid w:val="00E428BB"/>
    <w:rsid w:val="00E566A0"/>
    <w:rsid w:val="00E96CC0"/>
    <w:rsid w:val="00E97209"/>
    <w:rsid w:val="00EA36D1"/>
    <w:rsid w:val="00F16BE1"/>
    <w:rsid w:val="00F22739"/>
    <w:rsid w:val="00F50C60"/>
    <w:rsid w:val="00F74F86"/>
    <w:rsid w:val="00F80F48"/>
    <w:rsid w:val="00FB583A"/>
    <w:rsid w:val="00FC3D9A"/>
    <w:rsid w:val="00FE40FB"/>
    <w:rsid w:val="1B7F124D"/>
    <w:rsid w:val="240F7802"/>
    <w:rsid w:val="3820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tabs>
        <w:tab w:val="left" w:pos="576"/>
      </w:tabs>
      <w:spacing w:before="260" w:after="260" w:line="412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5">
    <w:name w:val="heading 3"/>
    <w:basedOn w:val="1"/>
    <w:next w:val="3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before="260" w:after="260" w:line="412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24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25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26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27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28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29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spacing w:line="360" w:lineRule="auto"/>
      <w:ind w:firstLine="420"/>
    </w:pPr>
    <w:rPr>
      <w:sz w:val="24"/>
      <w:szCs w:val="22"/>
    </w:rPr>
  </w:style>
  <w:style w:type="paragraph" w:styleId="1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13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First Indent"/>
    <w:basedOn w:val="12"/>
    <w:unhideWhenUsed/>
    <w:qFormat/>
    <w:uiPriority w:val="0"/>
    <w:pPr>
      <w:spacing w:after="0" w:line="360" w:lineRule="auto"/>
      <w:ind w:firstLine="200" w:firstLineChars="200"/>
    </w:pPr>
    <w:rPr>
      <w:rFonts w:ascii="Times New Roman" w:hAnsi="Times New Roman" w:eastAsia="宋体" w:cs="Times New Roman"/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paragraph" w:customStyle="1" w:styleId="20">
    <w:name w:val="首行缩进"/>
    <w:basedOn w:val="1"/>
    <w:qFormat/>
    <w:uiPriority w:val="0"/>
    <w:pPr>
      <w:spacing w:line="588" w:lineRule="exact"/>
      <w:ind w:firstLine="200" w:firstLineChars="200"/>
    </w:pPr>
    <w:rPr>
      <w:rFonts w:ascii="Calibri" w:hAnsi="Calibri" w:eastAsia="仿宋"/>
      <w:sz w:val="32"/>
    </w:rPr>
  </w:style>
  <w:style w:type="character" w:customStyle="1" w:styleId="21">
    <w:name w:val="页眉 字符"/>
    <w:basedOn w:val="18"/>
    <w:link w:val="1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18"/>
    <w:link w:val="1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标题 1 字符"/>
    <w:basedOn w:val="1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4">
    <w:name w:val="标题 4 字符"/>
    <w:basedOn w:val="18"/>
    <w:link w:val="6"/>
    <w:semiHidden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5">
    <w:name w:val="标题 5 字符"/>
    <w:basedOn w:val="18"/>
    <w:link w:val="7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6">
    <w:name w:val="标题 6 字符"/>
    <w:basedOn w:val="18"/>
    <w:link w:val="8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7">
    <w:name w:val="标题 7 字符"/>
    <w:basedOn w:val="18"/>
    <w:link w:val="9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28">
    <w:name w:val="标题 8 字符"/>
    <w:basedOn w:val="18"/>
    <w:link w:val="10"/>
    <w:semiHidden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9">
    <w:name w:val="标题 9 字符"/>
    <w:basedOn w:val="18"/>
    <w:link w:val="11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359</Words>
  <Characters>2050</Characters>
  <Lines>17</Lines>
  <Paragraphs>4</Paragraphs>
  <TotalTime>0</TotalTime>
  <ScaleCrop>false</ScaleCrop>
  <LinksUpToDate>false</LinksUpToDate>
  <CharactersWithSpaces>2405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2021-08-07T02:21:00Z</dcterms:created>
  <dcterms:modified xsi:type="dcterms:W3CDTF">2021-09-01T02:55:28Z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8236F786D30A488B80E69644797C464A</vt:lpwstr>
  </property>
</Properties>
</file>